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57168761" w:displacedByCustomXml="next"/>
    <w:sdt>
      <w:sdtPr>
        <w:rPr>
          <w:rFonts w:ascii="Arial" w:eastAsia="Times New Roman" w:hAnsi="Arial" w:cs="Times New Roman"/>
          <w:color w:val="auto"/>
          <w:sz w:val="24"/>
          <w:szCs w:val="24"/>
          <w:lang w:val="es-ES"/>
        </w:rPr>
        <w:id w:val="1450355142"/>
        <w:docPartObj>
          <w:docPartGallery w:val="Table of Contents"/>
          <w:docPartUnique/>
        </w:docPartObj>
      </w:sdtPr>
      <w:sdtEndPr>
        <w:rPr>
          <w:b/>
          <w:bCs/>
        </w:rPr>
      </w:sdtEndPr>
      <w:sdtContent>
        <w:p w14:paraId="1D2A3798" w14:textId="77777777" w:rsidR="006930D1" w:rsidRPr="00182A8F" w:rsidRDefault="006930D1" w:rsidP="00182A8F">
          <w:pPr>
            <w:pStyle w:val="TtuloTDC"/>
            <w:jc w:val="center"/>
            <w:rPr>
              <w:b/>
              <w:bCs/>
              <w:color w:val="auto"/>
            </w:rPr>
          </w:pPr>
          <w:r w:rsidRPr="00182A8F">
            <w:rPr>
              <w:b/>
              <w:bCs/>
              <w:color w:val="auto"/>
              <w:lang w:val="es-ES"/>
            </w:rPr>
            <w:t>Tabla de contenido</w:t>
          </w:r>
        </w:p>
        <w:p w14:paraId="77A381FB" w14:textId="77777777" w:rsidR="006930D1" w:rsidRDefault="006930D1">
          <w:pPr>
            <w:pStyle w:val="TDC3"/>
            <w:tabs>
              <w:tab w:val="right" w:leader="dot" w:pos="99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0368141" w:history="1">
            <w:r w:rsidRPr="0081468C">
              <w:rPr>
                <w:rStyle w:val="Hipervnculo"/>
                <w:rFonts w:eastAsia="Arial" w:cs="Arial"/>
                <w:noProof/>
                <w:lang w:val="es-ES"/>
              </w:rPr>
              <w:t>INTRODUCCIÓN</w:t>
            </w:r>
            <w:r>
              <w:rPr>
                <w:noProof/>
                <w:webHidden/>
              </w:rPr>
              <w:tab/>
            </w:r>
            <w:r>
              <w:rPr>
                <w:noProof/>
                <w:webHidden/>
              </w:rPr>
              <w:fldChar w:fldCharType="begin"/>
            </w:r>
            <w:r>
              <w:rPr>
                <w:noProof/>
                <w:webHidden/>
              </w:rPr>
              <w:instrText xml:space="preserve"> PAGEREF _Toc220368141 \h </w:instrText>
            </w:r>
            <w:r>
              <w:rPr>
                <w:noProof/>
                <w:webHidden/>
              </w:rPr>
            </w:r>
            <w:r>
              <w:rPr>
                <w:noProof/>
                <w:webHidden/>
              </w:rPr>
              <w:fldChar w:fldCharType="separate"/>
            </w:r>
            <w:r>
              <w:rPr>
                <w:noProof/>
                <w:webHidden/>
              </w:rPr>
              <w:t>2</w:t>
            </w:r>
            <w:r>
              <w:rPr>
                <w:noProof/>
                <w:webHidden/>
              </w:rPr>
              <w:fldChar w:fldCharType="end"/>
            </w:r>
          </w:hyperlink>
        </w:p>
        <w:p w14:paraId="56BE6A20" w14:textId="77777777" w:rsidR="006930D1" w:rsidRDefault="00182A8F">
          <w:pPr>
            <w:pStyle w:val="TDC3"/>
            <w:tabs>
              <w:tab w:val="right" w:leader="dot" w:pos="9962"/>
            </w:tabs>
            <w:rPr>
              <w:rFonts w:asciiTheme="minorHAnsi" w:eastAsiaTheme="minorEastAsia" w:hAnsiTheme="minorHAnsi" w:cstheme="minorBidi"/>
              <w:noProof/>
              <w:sz w:val="22"/>
              <w:szCs w:val="22"/>
            </w:rPr>
          </w:pPr>
          <w:hyperlink w:anchor="_Toc220368142" w:history="1">
            <w:r w:rsidR="006930D1" w:rsidRPr="0081468C">
              <w:rPr>
                <w:rStyle w:val="Hipervnculo"/>
                <w:rFonts w:eastAsia="Arial" w:cs="Arial"/>
                <w:noProof/>
                <w:lang w:val="es-ES"/>
              </w:rPr>
              <w:t>OBJETIVO:</w:t>
            </w:r>
            <w:r w:rsidR="006930D1">
              <w:rPr>
                <w:noProof/>
                <w:webHidden/>
              </w:rPr>
              <w:tab/>
            </w:r>
            <w:r w:rsidR="006930D1">
              <w:rPr>
                <w:noProof/>
                <w:webHidden/>
              </w:rPr>
              <w:fldChar w:fldCharType="begin"/>
            </w:r>
            <w:r w:rsidR="006930D1">
              <w:rPr>
                <w:noProof/>
                <w:webHidden/>
              </w:rPr>
              <w:instrText xml:space="preserve"> PAGEREF _Toc220368142 \h </w:instrText>
            </w:r>
            <w:r w:rsidR="006930D1">
              <w:rPr>
                <w:noProof/>
                <w:webHidden/>
              </w:rPr>
            </w:r>
            <w:r w:rsidR="006930D1">
              <w:rPr>
                <w:noProof/>
                <w:webHidden/>
              </w:rPr>
              <w:fldChar w:fldCharType="separate"/>
            </w:r>
            <w:r w:rsidR="006930D1">
              <w:rPr>
                <w:noProof/>
                <w:webHidden/>
              </w:rPr>
              <w:t>3</w:t>
            </w:r>
            <w:r w:rsidR="006930D1">
              <w:rPr>
                <w:noProof/>
                <w:webHidden/>
              </w:rPr>
              <w:fldChar w:fldCharType="end"/>
            </w:r>
          </w:hyperlink>
        </w:p>
        <w:p w14:paraId="61FA35D9" w14:textId="77777777" w:rsidR="006930D1" w:rsidRDefault="00182A8F">
          <w:pPr>
            <w:pStyle w:val="TDC3"/>
            <w:tabs>
              <w:tab w:val="right" w:leader="dot" w:pos="9962"/>
            </w:tabs>
            <w:rPr>
              <w:rFonts w:asciiTheme="minorHAnsi" w:eastAsiaTheme="minorEastAsia" w:hAnsiTheme="minorHAnsi" w:cstheme="minorBidi"/>
              <w:noProof/>
              <w:sz w:val="22"/>
              <w:szCs w:val="22"/>
            </w:rPr>
          </w:pPr>
          <w:hyperlink w:anchor="_Toc220368143" w:history="1">
            <w:r w:rsidR="006930D1" w:rsidRPr="0081468C">
              <w:rPr>
                <w:rStyle w:val="Hipervnculo"/>
                <w:rFonts w:cs="Arial"/>
                <w:noProof/>
              </w:rPr>
              <w:t>ALCANCE</w:t>
            </w:r>
            <w:r w:rsidR="006930D1">
              <w:rPr>
                <w:noProof/>
                <w:webHidden/>
              </w:rPr>
              <w:tab/>
            </w:r>
            <w:r w:rsidR="006930D1">
              <w:rPr>
                <w:noProof/>
                <w:webHidden/>
              </w:rPr>
              <w:fldChar w:fldCharType="begin"/>
            </w:r>
            <w:r w:rsidR="006930D1">
              <w:rPr>
                <w:noProof/>
                <w:webHidden/>
              </w:rPr>
              <w:instrText xml:space="preserve"> PAGEREF _Toc220368143 \h </w:instrText>
            </w:r>
            <w:r w:rsidR="006930D1">
              <w:rPr>
                <w:noProof/>
                <w:webHidden/>
              </w:rPr>
            </w:r>
            <w:r w:rsidR="006930D1">
              <w:rPr>
                <w:noProof/>
                <w:webHidden/>
              </w:rPr>
              <w:fldChar w:fldCharType="separate"/>
            </w:r>
            <w:r w:rsidR="006930D1">
              <w:rPr>
                <w:noProof/>
                <w:webHidden/>
              </w:rPr>
              <w:t>4</w:t>
            </w:r>
            <w:r w:rsidR="006930D1">
              <w:rPr>
                <w:noProof/>
                <w:webHidden/>
              </w:rPr>
              <w:fldChar w:fldCharType="end"/>
            </w:r>
          </w:hyperlink>
        </w:p>
        <w:p w14:paraId="56F0B912" w14:textId="77777777" w:rsidR="006930D1" w:rsidRDefault="00182A8F">
          <w:pPr>
            <w:pStyle w:val="TDC3"/>
            <w:tabs>
              <w:tab w:val="right" w:leader="dot" w:pos="9962"/>
            </w:tabs>
            <w:rPr>
              <w:rFonts w:asciiTheme="minorHAnsi" w:eastAsiaTheme="minorEastAsia" w:hAnsiTheme="minorHAnsi" w:cstheme="minorBidi"/>
              <w:noProof/>
              <w:sz w:val="22"/>
              <w:szCs w:val="22"/>
            </w:rPr>
          </w:pPr>
          <w:hyperlink w:anchor="_Toc220368144" w:history="1">
            <w:r w:rsidR="006930D1" w:rsidRPr="0081468C">
              <w:rPr>
                <w:rStyle w:val="Hipervnculo"/>
                <w:rFonts w:cs="Arial"/>
                <w:noProof/>
              </w:rPr>
              <w:t>MARCO NORMATIVO</w:t>
            </w:r>
            <w:r w:rsidR="006930D1">
              <w:rPr>
                <w:noProof/>
                <w:webHidden/>
              </w:rPr>
              <w:tab/>
            </w:r>
            <w:r w:rsidR="006930D1">
              <w:rPr>
                <w:noProof/>
                <w:webHidden/>
              </w:rPr>
              <w:fldChar w:fldCharType="begin"/>
            </w:r>
            <w:r w:rsidR="006930D1">
              <w:rPr>
                <w:noProof/>
                <w:webHidden/>
              </w:rPr>
              <w:instrText xml:space="preserve"> PAGEREF _Toc220368144 \h </w:instrText>
            </w:r>
            <w:r w:rsidR="006930D1">
              <w:rPr>
                <w:noProof/>
                <w:webHidden/>
              </w:rPr>
            </w:r>
            <w:r w:rsidR="006930D1">
              <w:rPr>
                <w:noProof/>
                <w:webHidden/>
              </w:rPr>
              <w:fldChar w:fldCharType="separate"/>
            </w:r>
            <w:r w:rsidR="006930D1">
              <w:rPr>
                <w:noProof/>
                <w:webHidden/>
              </w:rPr>
              <w:t>4</w:t>
            </w:r>
            <w:r w:rsidR="006930D1">
              <w:rPr>
                <w:noProof/>
                <w:webHidden/>
              </w:rPr>
              <w:fldChar w:fldCharType="end"/>
            </w:r>
          </w:hyperlink>
        </w:p>
        <w:p w14:paraId="6BF8CF50" w14:textId="77777777" w:rsidR="006930D1" w:rsidRDefault="00182A8F">
          <w:pPr>
            <w:pStyle w:val="TDC3"/>
            <w:tabs>
              <w:tab w:val="right" w:leader="dot" w:pos="9962"/>
            </w:tabs>
            <w:rPr>
              <w:rFonts w:asciiTheme="minorHAnsi" w:eastAsiaTheme="minorEastAsia" w:hAnsiTheme="minorHAnsi" w:cstheme="minorBidi"/>
              <w:noProof/>
              <w:sz w:val="22"/>
              <w:szCs w:val="22"/>
            </w:rPr>
          </w:pPr>
          <w:hyperlink w:anchor="_Toc220368145" w:history="1">
            <w:r w:rsidR="006930D1" w:rsidRPr="0081468C">
              <w:rPr>
                <w:rStyle w:val="Hipervnculo"/>
                <w:rFonts w:cs="Arial"/>
                <w:noProof/>
              </w:rPr>
              <w:t>RESPONSABLE</w:t>
            </w:r>
            <w:r w:rsidR="006930D1">
              <w:rPr>
                <w:noProof/>
                <w:webHidden/>
              </w:rPr>
              <w:tab/>
            </w:r>
            <w:r w:rsidR="006930D1">
              <w:rPr>
                <w:noProof/>
                <w:webHidden/>
              </w:rPr>
              <w:fldChar w:fldCharType="begin"/>
            </w:r>
            <w:r w:rsidR="006930D1">
              <w:rPr>
                <w:noProof/>
                <w:webHidden/>
              </w:rPr>
              <w:instrText xml:space="preserve"> PAGEREF _Toc220368145 \h </w:instrText>
            </w:r>
            <w:r w:rsidR="006930D1">
              <w:rPr>
                <w:noProof/>
                <w:webHidden/>
              </w:rPr>
            </w:r>
            <w:r w:rsidR="006930D1">
              <w:rPr>
                <w:noProof/>
                <w:webHidden/>
              </w:rPr>
              <w:fldChar w:fldCharType="separate"/>
            </w:r>
            <w:r w:rsidR="006930D1">
              <w:rPr>
                <w:noProof/>
                <w:webHidden/>
              </w:rPr>
              <w:t>6</w:t>
            </w:r>
            <w:r w:rsidR="006930D1">
              <w:rPr>
                <w:noProof/>
                <w:webHidden/>
              </w:rPr>
              <w:fldChar w:fldCharType="end"/>
            </w:r>
          </w:hyperlink>
        </w:p>
        <w:p w14:paraId="43361FDB" w14:textId="77777777" w:rsidR="006930D1" w:rsidRDefault="00182A8F">
          <w:pPr>
            <w:pStyle w:val="TDC3"/>
            <w:tabs>
              <w:tab w:val="right" w:leader="dot" w:pos="9962"/>
            </w:tabs>
            <w:rPr>
              <w:rFonts w:asciiTheme="minorHAnsi" w:eastAsiaTheme="minorEastAsia" w:hAnsiTheme="minorHAnsi" w:cstheme="minorBidi"/>
              <w:noProof/>
              <w:sz w:val="22"/>
              <w:szCs w:val="22"/>
            </w:rPr>
          </w:pPr>
          <w:hyperlink w:anchor="_Toc220368146" w:history="1">
            <w:r w:rsidR="006930D1" w:rsidRPr="0081468C">
              <w:rPr>
                <w:rStyle w:val="Hipervnculo"/>
                <w:rFonts w:cs="Arial"/>
                <w:noProof/>
              </w:rPr>
              <w:t>MARCO CONCEPTUAL</w:t>
            </w:r>
            <w:r w:rsidR="006930D1">
              <w:rPr>
                <w:noProof/>
                <w:webHidden/>
              </w:rPr>
              <w:tab/>
            </w:r>
            <w:r w:rsidR="006930D1">
              <w:rPr>
                <w:noProof/>
                <w:webHidden/>
              </w:rPr>
              <w:fldChar w:fldCharType="begin"/>
            </w:r>
            <w:r w:rsidR="006930D1">
              <w:rPr>
                <w:noProof/>
                <w:webHidden/>
              </w:rPr>
              <w:instrText xml:space="preserve"> PAGEREF _Toc220368146 \h </w:instrText>
            </w:r>
            <w:r w:rsidR="006930D1">
              <w:rPr>
                <w:noProof/>
                <w:webHidden/>
              </w:rPr>
            </w:r>
            <w:r w:rsidR="006930D1">
              <w:rPr>
                <w:noProof/>
                <w:webHidden/>
              </w:rPr>
              <w:fldChar w:fldCharType="separate"/>
            </w:r>
            <w:r w:rsidR="006930D1">
              <w:rPr>
                <w:noProof/>
                <w:webHidden/>
              </w:rPr>
              <w:t>7</w:t>
            </w:r>
            <w:r w:rsidR="006930D1">
              <w:rPr>
                <w:noProof/>
                <w:webHidden/>
              </w:rPr>
              <w:fldChar w:fldCharType="end"/>
            </w:r>
          </w:hyperlink>
        </w:p>
        <w:p w14:paraId="0E70EEB3" w14:textId="77777777" w:rsidR="006930D1" w:rsidRDefault="00182A8F">
          <w:pPr>
            <w:pStyle w:val="TDC3"/>
            <w:tabs>
              <w:tab w:val="right" w:leader="dot" w:pos="9962"/>
            </w:tabs>
            <w:rPr>
              <w:rFonts w:asciiTheme="minorHAnsi" w:eastAsiaTheme="minorEastAsia" w:hAnsiTheme="minorHAnsi" w:cstheme="minorBidi"/>
              <w:noProof/>
              <w:sz w:val="22"/>
              <w:szCs w:val="22"/>
            </w:rPr>
          </w:pPr>
          <w:hyperlink w:anchor="_Toc220368147" w:history="1">
            <w:r w:rsidR="006930D1" w:rsidRPr="0081468C">
              <w:rPr>
                <w:rStyle w:val="Hipervnculo"/>
                <w:rFonts w:cs="Arial"/>
                <w:noProof/>
              </w:rPr>
              <w:t>ESTRATEGIA DE CUMPLIMIENTO</w:t>
            </w:r>
            <w:r w:rsidR="006930D1">
              <w:rPr>
                <w:noProof/>
                <w:webHidden/>
              </w:rPr>
              <w:tab/>
            </w:r>
            <w:r w:rsidR="006930D1">
              <w:rPr>
                <w:noProof/>
                <w:webHidden/>
              </w:rPr>
              <w:fldChar w:fldCharType="begin"/>
            </w:r>
            <w:r w:rsidR="006930D1">
              <w:rPr>
                <w:noProof/>
                <w:webHidden/>
              </w:rPr>
              <w:instrText xml:space="preserve"> PAGEREF _Toc220368147 \h </w:instrText>
            </w:r>
            <w:r w:rsidR="006930D1">
              <w:rPr>
                <w:noProof/>
                <w:webHidden/>
              </w:rPr>
            </w:r>
            <w:r w:rsidR="006930D1">
              <w:rPr>
                <w:noProof/>
                <w:webHidden/>
              </w:rPr>
              <w:fldChar w:fldCharType="separate"/>
            </w:r>
            <w:r w:rsidR="006930D1">
              <w:rPr>
                <w:noProof/>
                <w:webHidden/>
              </w:rPr>
              <w:t>9</w:t>
            </w:r>
            <w:r w:rsidR="006930D1">
              <w:rPr>
                <w:noProof/>
                <w:webHidden/>
              </w:rPr>
              <w:fldChar w:fldCharType="end"/>
            </w:r>
          </w:hyperlink>
        </w:p>
        <w:p w14:paraId="1D821036" w14:textId="77777777" w:rsidR="006930D1" w:rsidRDefault="00182A8F">
          <w:pPr>
            <w:pStyle w:val="TDC3"/>
            <w:tabs>
              <w:tab w:val="right" w:leader="dot" w:pos="9962"/>
            </w:tabs>
            <w:rPr>
              <w:rFonts w:asciiTheme="minorHAnsi" w:eastAsiaTheme="minorEastAsia" w:hAnsiTheme="minorHAnsi" w:cstheme="minorBidi"/>
              <w:noProof/>
              <w:sz w:val="22"/>
              <w:szCs w:val="22"/>
            </w:rPr>
          </w:pPr>
          <w:hyperlink w:anchor="_Toc220368148" w:history="1">
            <w:r w:rsidR="006930D1" w:rsidRPr="0081468C">
              <w:rPr>
                <w:rStyle w:val="Hipervnculo"/>
                <w:rFonts w:cs="Arial"/>
                <w:noProof/>
              </w:rPr>
              <w:t>RESULTADOS DE GESTIÓN DEL SG-SST – VIGENCIA 2025 (INSUMO PARA 2026)</w:t>
            </w:r>
            <w:r w:rsidR="006930D1">
              <w:rPr>
                <w:noProof/>
                <w:webHidden/>
              </w:rPr>
              <w:tab/>
            </w:r>
            <w:r w:rsidR="006930D1">
              <w:rPr>
                <w:noProof/>
                <w:webHidden/>
              </w:rPr>
              <w:fldChar w:fldCharType="begin"/>
            </w:r>
            <w:r w:rsidR="006930D1">
              <w:rPr>
                <w:noProof/>
                <w:webHidden/>
              </w:rPr>
              <w:instrText xml:space="preserve"> PAGEREF _Toc220368148 \h </w:instrText>
            </w:r>
            <w:r w:rsidR="006930D1">
              <w:rPr>
                <w:noProof/>
                <w:webHidden/>
              </w:rPr>
            </w:r>
            <w:r w:rsidR="006930D1">
              <w:rPr>
                <w:noProof/>
                <w:webHidden/>
              </w:rPr>
              <w:fldChar w:fldCharType="separate"/>
            </w:r>
            <w:r w:rsidR="006930D1">
              <w:rPr>
                <w:noProof/>
                <w:webHidden/>
              </w:rPr>
              <w:t>10</w:t>
            </w:r>
            <w:r w:rsidR="006930D1">
              <w:rPr>
                <w:noProof/>
                <w:webHidden/>
              </w:rPr>
              <w:fldChar w:fldCharType="end"/>
            </w:r>
          </w:hyperlink>
        </w:p>
        <w:p w14:paraId="21B4B086" w14:textId="77777777" w:rsidR="006930D1" w:rsidRDefault="00182A8F">
          <w:pPr>
            <w:pStyle w:val="TDC3"/>
            <w:tabs>
              <w:tab w:val="right" w:leader="dot" w:pos="9962"/>
            </w:tabs>
            <w:rPr>
              <w:rFonts w:asciiTheme="minorHAnsi" w:eastAsiaTheme="minorEastAsia" w:hAnsiTheme="minorHAnsi" w:cstheme="minorBidi"/>
              <w:noProof/>
              <w:sz w:val="22"/>
              <w:szCs w:val="22"/>
            </w:rPr>
          </w:pPr>
          <w:hyperlink w:anchor="_Toc220368149" w:history="1">
            <w:r w:rsidR="006930D1" w:rsidRPr="0081468C">
              <w:rPr>
                <w:rStyle w:val="Hipervnculo"/>
                <w:rFonts w:cs="Arial"/>
                <w:noProof/>
              </w:rPr>
              <w:t>DIAGNÓSTICO DE NECESIDAD PARA LA VIGENCIA 2026</w:t>
            </w:r>
            <w:r w:rsidR="006930D1">
              <w:rPr>
                <w:noProof/>
                <w:webHidden/>
              </w:rPr>
              <w:tab/>
            </w:r>
            <w:r w:rsidR="006930D1">
              <w:rPr>
                <w:noProof/>
                <w:webHidden/>
              </w:rPr>
              <w:fldChar w:fldCharType="begin"/>
            </w:r>
            <w:r w:rsidR="006930D1">
              <w:rPr>
                <w:noProof/>
                <w:webHidden/>
              </w:rPr>
              <w:instrText xml:space="preserve"> PAGEREF _Toc220368149 \h </w:instrText>
            </w:r>
            <w:r w:rsidR="006930D1">
              <w:rPr>
                <w:noProof/>
                <w:webHidden/>
              </w:rPr>
            </w:r>
            <w:r w:rsidR="006930D1">
              <w:rPr>
                <w:noProof/>
                <w:webHidden/>
              </w:rPr>
              <w:fldChar w:fldCharType="separate"/>
            </w:r>
            <w:r w:rsidR="006930D1">
              <w:rPr>
                <w:noProof/>
                <w:webHidden/>
              </w:rPr>
              <w:t>11</w:t>
            </w:r>
            <w:r w:rsidR="006930D1">
              <w:rPr>
                <w:noProof/>
                <w:webHidden/>
              </w:rPr>
              <w:fldChar w:fldCharType="end"/>
            </w:r>
          </w:hyperlink>
        </w:p>
        <w:p w14:paraId="2BE4D468" w14:textId="77777777" w:rsidR="006930D1" w:rsidRDefault="00182A8F">
          <w:pPr>
            <w:pStyle w:val="TDC3"/>
            <w:tabs>
              <w:tab w:val="right" w:leader="dot" w:pos="9962"/>
            </w:tabs>
            <w:rPr>
              <w:rFonts w:asciiTheme="minorHAnsi" w:eastAsiaTheme="minorEastAsia" w:hAnsiTheme="minorHAnsi" w:cstheme="minorBidi"/>
              <w:noProof/>
              <w:sz w:val="22"/>
              <w:szCs w:val="22"/>
            </w:rPr>
          </w:pPr>
          <w:hyperlink w:anchor="_Toc220368150" w:history="1">
            <w:r w:rsidR="006930D1" w:rsidRPr="0081468C">
              <w:rPr>
                <w:rStyle w:val="Hipervnculo"/>
                <w:rFonts w:cs="Arial"/>
                <w:noProof/>
              </w:rPr>
              <w:t>DIAGNÓSTICO DE RIESGO PSICOSOCIAL Y ENTORNO LABORAL SALUDABLE</w:t>
            </w:r>
            <w:r w:rsidR="006930D1">
              <w:rPr>
                <w:noProof/>
                <w:webHidden/>
              </w:rPr>
              <w:tab/>
            </w:r>
            <w:r w:rsidR="006930D1">
              <w:rPr>
                <w:noProof/>
                <w:webHidden/>
              </w:rPr>
              <w:fldChar w:fldCharType="begin"/>
            </w:r>
            <w:r w:rsidR="006930D1">
              <w:rPr>
                <w:noProof/>
                <w:webHidden/>
              </w:rPr>
              <w:instrText xml:space="preserve"> PAGEREF _Toc220368150 \h </w:instrText>
            </w:r>
            <w:r w:rsidR="006930D1">
              <w:rPr>
                <w:noProof/>
                <w:webHidden/>
              </w:rPr>
            </w:r>
            <w:r w:rsidR="006930D1">
              <w:rPr>
                <w:noProof/>
                <w:webHidden/>
              </w:rPr>
              <w:fldChar w:fldCharType="separate"/>
            </w:r>
            <w:r w:rsidR="006930D1">
              <w:rPr>
                <w:noProof/>
                <w:webHidden/>
              </w:rPr>
              <w:t>13</w:t>
            </w:r>
            <w:r w:rsidR="006930D1">
              <w:rPr>
                <w:noProof/>
                <w:webHidden/>
              </w:rPr>
              <w:fldChar w:fldCharType="end"/>
            </w:r>
          </w:hyperlink>
        </w:p>
        <w:p w14:paraId="04B55774" w14:textId="77777777" w:rsidR="006930D1" w:rsidRDefault="00182A8F">
          <w:pPr>
            <w:pStyle w:val="TDC3"/>
            <w:tabs>
              <w:tab w:val="right" w:leader="dot" w:pos="9962"/>
            </w:tabs>
            <w:rPr>
              <w:rFonts w:asciiTheme="minorHAnsi" w:eastAsiaTheme="minorEastAsia" w:hAnsiTheme="minorHAnsi" w:cstheme="minorBidi"/>
              <w:noProof/>
              <w:sz w:val="22"/>
              <w:szCs w:val="22"/>
            </w:rPr>
          </w:pPr>
          <w:hyperlink w:anchor="_Toc220368151" w:history="1">
            <w:r w:rsidR="006930D1" w:rsidRPr="0081468C">
              <w:rPr>
                <w:rStyle w:val="Hipervnculo"/>
                <w:rFonts w:cs="Arial"/>
                <w:noProof/>
              </w:rPr>
              <w:t>SEGUIMIENTO DEL PLAN Y MEJORAMIENTO</w:t>
            </w:r>
            <w:r w:rsidR="006930D1">
              <w:rPr>
                <w:noProof/>
                <w:webHidden/>
              </w:rPr>
              <w:tab/>
            </w:r>
            <w:r w:rsidR="006930D1">
              <w:rPr>
                <w:noProof/>
                <w:webHidden/>
              </w:rPr>
              <w:fldChar w:fldCharType="begin"/>
            </w:r>
            <w:r w:rsidR="006930D1">
              <w:rPr>
                <w:noProof/>
                <w:webHidden/>
              </w:rPr>
              <w:instrText xml:space="preserve"> PAGEREF _Toc220368151 \h </w:instrText>
            </w:r>
            <w:r w:rsidR="006930D1">
              <w:rPr>
                <w:noProof/>
                <w:webHidden/>
              </w:rPr>
            </w:r>
            <w:r w:rsidR="006930D1">
              <w:rPr>
                <w:noProof/>
                <w:webHidden/>
              </w:rPr>
              <w:fldChar w:fldCharType="separate"/>
            </w:r>
            <w:r w:rsidR="006930D1">
              <w:rPr>
                <w:noProof/>
                <w:webHidden/>
              </w:rPr>
              <w:t>14</w:t>
            </w:r>
            <w:r w:rsidR="006930D1">
              <w:rPr>
                <w:noProof/>
                <w:webHidden/>
              </w:rPr>
              <w:fldChar w:fldCharType="end"/>
            </w:r>
          </w:hyperlink>
        </w:p>
        <w:p w14:paraId="3BE89D10" w14:textId="77777777" w:rsidR="006930D1" w:rsidRDefault="00182A8F">
          <w:pPr>
            <w:pStyle w:val="TDC3"/>
            <w:tabs>
              <w:tab w:val="right" w:leader="dot" w:pos="9962"/>
            </w:tabs>
            <w:rPr>
              <w:rFonts w:asciiTheme="minorHAnsi" w:eastAsiaTheme="minorEastAsia" w:hAnsiTheme="minorHAnsi" w:cstheme="minorBidi"/>
              <w:noProof/>
              <w:sz w:val="22"/>
              <w:szCs w:val="22"/>
            </w:rPr>
          </w:pPr>
          <w:hyperlink w:anchor="_Toc220368152" w:history="1">
            <w:r w:rsidR="006930D1" w:rsidRPr="0081468C">
              <w:rPr>
                <w:rStyle w:val="Hipervnculo"/>
                <w:rFonts w:cs="Arial"/>
                <w:noProof/>
              </w:rPr>
              <w:t>PLAN DE MEJORAMIENTO</w:t>
            </w:r>
            <w:r w:rsidR="006930D1">
              <w:rPr>
                <w:noProof/>
                <w:webHidden/>
              </w:rPr>
              <w:tab/>
            </w:r>
            <w:r w:rsidR="006930D1">
              <w:rPr>
                <w:noProof/>
                <w:webHidden/>
              </w:rPr>
              <w:fldChar w:fldCharType="begin"/>
            </w:r>
            <w:r w:rsidR="006930D1">
              <w:rPr>
                <w:noProof/>
                <w:webHidden/>
              </w:rPr>
              <w:instrText xml:space="preserve"> PAGEREF _Toc220368152 \h </w:instrText>
            </w:r>
            <w:r w:rsidR="006930D1">
              <w:rPr>
                <w:noProof/>
                <w:webHidden/>
              </w:rPr>
            </w:r>
            <w:r w:rsidR="006930D1">
              <w:rPr>
                <w:noProof/>
                <w:webHidden/>
              </w:rPr>
              <w:fldChar w:fldCharType="separate"/>
            </w:r>
            <w:r w:rsidR="006930D1">
              <w:rPr>
                <w:noProof/>
                <w:webHidden/>
              </w:rPr>
              <w:t>15</w:t>
            </w:r>
            <w:r w:rsidR="006930D1">
              <w:rPr>
                <w:noProof/>
                <w:webHidden/>
              </w:rPr>
              <w:fldChar w:fldCharType="end"/>
            </w:r>
          </w:hyperlink>
        </w:p>
        <w:p w14:paraId="65DE30D3" w14:textId="77777777" w:rsidR="006930D1" w:rsidRDefault="00182A8F">
          <w:pPr>
            <w:pStyle w:val="TDC3"/>
            <w:tabs>
              <w:tab w:val="right" w:leader="dot" w:pos="9962"/>
            </w:tabs>
            <w:rPr>
              <w:rFonts w:asciiTheme="minorHAnsi" w:eastAsiaTheme="minorEastAsia" w:hAnsiTheme="minorHAnsi" w:cstheme="minorBidi"/>
              <w:noProof/>
              <w:sz w:val="22"/>
              <w:szCs w:val="22"/>
            </w:rPr>
          </w:pPr>
          <w:hyperlink w:anchor="_Toc220368153" w:history="1">
            <w:r w:rsidR="006930D1" w:rsidRPr="0081468C">
              <w:rPr>
                <w:rStyle w:val="Hipervnculo"/>
                <w:rFonts w:cs="Arial"/>
                <w:noProof/>
              </w:rPr>
              <w:t>ANEXOS</w:t>
            </w:r>
            <w:r w:rsidR="006930D1">
              <w:rPr>
                <w:noProof/>
                <w:webHidden/>
              </w:rPr>
              <w:tab/>
            </w:r>
            <w:r w:rsidR="006930D1">
              <w:rPr>
                <w:noProof/>
                <w:webHidden/>
              </w:rPr>
              <w:fldChar w:fldCharType="begin"/>
            </w:r>
            <w:r w:rsidR="006930D1">
              <w:rPr>
                <w:noProof/>
                <w:webHidden/>
              </w:rPr>
              <w:instrText xml:space="preserve"> PAGEREF _Toc220368153 \h </w:instrText>
            </w:r>
            <w:r w:rsidR="006930D1">
              <w:rPr>
                <w:noProof/>
                <w:webHidden/>
              </w:rPr>
            </w:r>
            <w:r w:rsidR="006930D1">
              <w:rPr>
                <w:noProof/>
                <w:webHidden/>
              </w:rPr>
              <w:fldChar w:fldCharType="separate"/>
            </w:r>
            <w:r w:rsidR="006930D1">
              <w:rPr>
                <w:noProof/>
                <w:webHidden/>
              </w:rPr>
              <w:t>15</w:t>
            </w:r>
            <w:r w:rsidR="006930D1">
              <w:rPr>
                <w:noProof/>
                <w:webHidden/>
              </w:rPr>
              <w:fldChar w:fldCharType="end"/>
            </w:r>
          </w:hyperlink>
        </w:p>
        <w:p w14:paraId="1803E978" w14:textId="77777777" w:rsidR="006930D1" w:rsidRDefault="006930D1">
          <w:r>
            <w:rPr>
              <w:b/>
              <w:bCs/>
              <w:lang w:val="es-ES"/>
            </w:rPr>
            <w:fldChar w:fldCharType="end"/>
          </w:r>
        </w:p>
      </w:sdtContent>
    </w:sdt>
    <w:p w14:paraId="692059C3" w14:textId="77777777" w:rsidR="00B221A5" w:rsidRPr="006930D1" w:rsidRDefault="00056F2E">
      <w:pPr>
        <w:rPr>
          <w:rFonts w:eastAsia="Arial" w:cs="Arial"/>
          <w:b/>
          <w:bCs/>
          <w:lang w:val="es-ES"/>
        </w:rPr>
      </w:pPr>
      <w:r w:rsidRPr="006930D1">
        <w:rPr>
          <w:rFonts w:eastAsia="Arial" w:cs="Arial"/>
          <w:b/>
          <w:bCs/>
          <w:lang w:val="es-ES"/>
        </w:rPr>
        <w:br w:type="page"/>
      </w:r>
    </w:p>
    <w:p w14:paraId="19207E63" w14:textId="77777777" w:rsidR="00B221A5" w:rsidRPr="006930D1" w:rsidRDefault="00056F2E" w:rsidP="009D0606">
      <w:pPr>
        <w:pStyle w:val="Ttulo3"/>
        <w:rPr>
          <w:rFonts w:eastAsia="Trebuchet MS" w:cs="Arial"/>
          <w:szCs w:val="24"/>
          <w:lang w:val="es-ES"/>
        </w:rPr>
      </w:pPr>
      <w:bookmarkStart w:id="1" w:name="_Toc220368141"/>
      <w:r w:rsidRPr="006930D1">
        <w:rPr>
          <w:rFonts w:eastAsia="Arial" w:cs="Arial"/>
          <w:szCs w:val="24"/>
          <w:lang w:val="es-ES"/>
        </w:rPr>
        <w:lastRenderedPageBreak/>
        <w:t>INTRODUCCIÓN</w:t>
      </w:r>
      <w:bookmarkEnd w:id="1"/>
      <w:bookmarkEnd w:id="0"/>
    </w:p>
    <w:p w14:paraId="0E9D48B3" w14:textId="77777777" w:rsidR="00B221A5" w:rsidRPr="006930D1" w:rsidRDefault="00B221A5">
      <w:pPr>
        <w:widowControl w:val="0"/>
        <w:autoSpaceDE w:val="0"/>
        <w:autoSpaceDN w:val="0"/>
        <w:adjustRightInd w:val="0"/>
        <w:jc w:val="center"/>
        <w:rPr>
          <w:rFonts w:eastAsia="Arial MT" w:cs="Arial"/>
          <w:color w:val="000000"/>
          <w:lang w:val="es-ES"/>
        </w:rPr>
      </w:pPr>
    </w:p>
    <w:p w14:paraId="42FABF5D" w14:textId="77777777" w:rsidR="000F6C44" w:rsidRPr="006930D1" w:rsidRDefault="000F6C44" w:rsidP="000F6C44">
      <w:pPr>
        <w:jc w:val="both"/>
        <w:rPr>
          <w:rFonts w:cs="Arial"/>
        </w:rPr>
      </w:pPr>
      <w:r w:rsidRPr="006930D1">
        <w:rPr>
          <w:rFonts w:cs="Arial"/>
        </w:rPr>
        <w:t xml:space="preserve">En cumplimiento de lo establecido en la </w:t>
      </w:r>
      <w:r w:rsidRPr="006930D1">
        <w:rPr>
          <w:rFonts w:cs="Arial"/>
          <w:bCs/>
        </w:rPr>
        <w:t>Ley 1562 de 2012</w:t>
      </w:r>
      <w:r w:rsidRPr="006930D1">
        <w:rPr>
          <w:rFonts w:cs="Arial"/>
        </w:rPr>
        <w:t xml:space="preserve">, el </w:t>
      </w:r>
      <w:r w:rsidRPr="006930D1">
        <w:rPr>
          <w:rFonts w:cs="Arial"/>
          <w:bCs/>
        </w:rPr>
        <w:t>Decreto 1072 de 2015</w:t>
      </w:r>
      <w:r w:rsidRPr="006930D1">
        <w:rPr>
          <w:rFonts w:cs="Arial"/>
        </w:rPr>
        <w:t xml:space="preserve">, la </w:t>
      </w:r>
      <w:r w:rsidRPr="006930D1">
        <w:rPr>
          <w:rFonts w:cs="Arial"/>
          <w:bCs/>
        </w:rPr>
        <w:t>Resolución 0312 de 2019</w:t>
      </w:r>
      <w:r w:rsidRPr="006930D1">
        <w:rPr>
          <w:rFonts w:cs="Arial"/>
        </w:rPr>
        <w:t xml:space="preserve"> y demás normatividad vigente en materia de Seguridad y Salud en el Trabajo en Colombia, la </w:t>
      </w:r>
      <w:r w:rsidRPr="006930D1">
        <w:rPr>
          <w:rFonts w:cs="Arial"/>
          <w:bCs/>
        </w:rPr>
        <w:t>Administración Municipal de Armenia</w:t>
      </w:r>
      <w:r w:rsidRPr="006930D1">
        <w:rPr>
          <w:rFonts w:cs="Arial"/>
        </w:rPr>
        <w:t xml:space="preserve"> estructura el </w:t>
      </w:r>
      <w:r w:rsidRPr="006930D1">
        <w:rPr>
          <w:rFonts w:cs="Arial"/>
          <w:bCs/>
        </w:rPr>
        <w:t>Plan Anual del Sistema de Gestión de Seguridad y Salud en el Trabajo (SG-SST) para la vigencia 2026</w:t>
      </w:r>
      <w:r w:rsidRPr="006930D1">
        <w:rPr>
          <w:rFonts w:cs="Arial"/>
        </w:rPr>
        <w:t>, como un instrumento de planeación, ejecución, seguimiento y mejora continua de las condiciones laborales de sus trabajadores.</w:t>
      </w:r>
    </w:p>
    <w:p w14:paraId="288C1F70" w14:textId="77777777" w:rsidR="000F6C44" w:rsidRPr="006930D1" w:rsidRDefault="000F6C44" w:rsidP="000F6C44">
      <w:pPr>
        <w:jc w:val="both"/>
        <w:rPr>
          <w:rFonts w:cs="Arial"/>
        </w:rPr>
      </w:pPr>
    </w:p>
    <w:p w14:paraId="229EDE8F" w14:textId="77777777" w:rsidR="000F6C44" w:rsidRPr="006930D1" w:rsidRDefault="000F6C44" w:rsidP="000F6C44">
      <w:pPr>
        <w:jc w:val="both"/>
        <w:rPr>
          <w:rFonts w:cs="Arial"/>
        </w:rPr>
      </w:pPr>
      <w:r w:rsidRPr="006930D1">
        <w:rPr>
          <w:rFonts w:cs="Arial"/>
        </w:rPr>
        <w:t>El Sistema de Gestión de la Seguridad y Salud en el Trabajo se concibe como un proceso integral, sistemático y permanente, orientado a la identificación, evaluación y control de los peligros y riesgos derivados de las actividades desarrolladas por la entidad, con el fin de prevenir accidentes de trabajo, enfermedades laborales y promover entornos de trabajo seguros y saludables.</w:t>
      </w:r>
    </w:p>
    <w:p w14:paraId="43CCE9BE" w14:textId="77777777" w:rsidR="000F6C44" w:rsidRPr="006930D1" w:rsidRDefault="000F6C44" w:rsidP="000F6C44">
      <w:pPr>
        <w:jc w:val="both"/>
        <w:rPr>
          <w:rFonts w:cs="Arial"/>
        </w:rPr>
      </w:pPr>
    </w:p>
    <w:p w14:paraId="272FF70A" w14:textId="77777777" w:rsidR="000F6C44" w:rsidRPr="006930D1" w:rsidRDefault="000F6C44" w:rsidP="000F6C44">
      <w:pPr>
        <w:jc w:val="both"/>
        <w:rPr>
          <w:rFonts w:cs="Arial"/>
        </w:rPr>
      </w:pPr>
      <w:r w:rsidRPr="006930D1">
        <w:rPr>
          <w:rFonts w:cs="Arial"/>
        </w:rPr>
        <w:t>El presente plan constituye una herramienta fundamental para la acción conjunta entre la Entidad, los funcionarios, contratistas y demás partes interesadas, permitiendo articular los recursos humanos, técnicos y financieros necesarios para el fortalecimiento del SG-SST, el mejoramiento continuo de las condiciones de trabajo y el bienestar físico, mental y social de los trabajadores.</w:t>
      </w:r>
    </w:p>
    <w:p w14:paraId="76250C60" w14:textId="77777777" w:rsidR="000F6C44" w:rsidRPr="006930D1" w:rsidRDefault="000F6C44" w:rsidP="000F6C44">
      <w:pPr>
        <w:jc w:val="both"/>
        <w:rPr>
          <w:rFonts w:cs="Arial"/>
        </w:rPr>
      </w:pPr>
    </w:p>
    <w:p w14:paraId="0658C59A" w14:textId="77777777" w:rsidR="000F6C44" w:rsidRPr="006930D1" w:rsidRDefault="000F6C44" w:rsidP="000F6C44">
      <w:pPr>
        <w:jc w:val="both"/>
        <w:rPr>
          <w:rFonts w:cs="Arial"/>
        </w:rPr>
      </w:pPr>
      <w:r w:rsidRPr="006930D1">
        <w:rPr>
          <w:rFonts w:cs="Arial"/>
        </w:rPr>
        <w:t xml:space="preserve">El SG-SST se desarrolla bajo el enfoque del </w:t>
      </w:r>
      <w:r w:rsidRPr="006930D1">
        <w:rPr>
          <w:rFonts w:cs="Arial"/>
          <w:bCs/>
        </w:rPr>
        <w:t>ciclo PHVA (Planear, Hacer, Verificar y Actuar)</w:t>
      </w:r>
      <w:r w:rsidRPr="006930D1">
        <w:rPr>
          <w:rFonts w:cs="Arial"/>
        </w:rPr>
        <w:t>, integrando de manera coherente la política de Seguridad y Salud en el Trabajo, la organización, la planificación, la aplicación de los programas, la evaluación del desempeño, la auditoría y la implementación de acciones correctivas, preventivas y de mejora. Este enfoque permite garantizar la eficacia del sistema y su alineación con los objetivos institucionales, contribuyendo a la productividad, la calidad del servicio y el cumplimiento legal.</w:t>
      </w:r>
    </w:p>
    <w:p w14:paraId="16A148D7" w14:textId="77777777" w:rsidR="000F6C44" w:rsidRPr="006930D1" w:rsidRDefault="000F6C44" w:rsidP="000F6C44">
      <w:pPr>
        <w:jc w:val="both"/>
        <w:rPr>
          <w:rFonts w:cs="Arial"/>
        </w:rPr>
      </w:pPr>
    </w:p>
    <w:p w14:paraId="447413CE" w14:textId="77777777" w:rsidR="000F6C44" w:rsidRPr="006930D1" w:rsidRDefault="000F6C44" w:rsidP="000F6C44">
      <w:pPr>
        <w:jc w:val="both"/>
        <w:rPr>
          <w:rFonts w:cs="Arial"/>
        </w:rPr>
      </w:pPr>
      <w:r w:rsidRPr="006930D1">
        <w:rPr>
          <w:rFonts w:cs="Arial"/>
        </w:rPr>
        <w:t>De acuerdo con lo anterior, el Plan de Seguridad y Salud en el Trabajo vigencia 2026 se fundamenta en los resultados del análisis de la gestión del SG-SST durante la vigencia 2025, la evaluación de estándares mínimos, los resultados de los programas de vigilancia epidemiológica, la identificación de peligros y valoración de riesgos, el análisis de la accidentalidad, los resultados de la batería de riesgo psicosocial y los informes de los diferentes comités, constituyéndose en un instrumento técnico y administrativo para la toma de decisiones y la mejora continua del sistema.</w:t>
      </w:r>
    </w:p>
    <w:p w14:paraId="3428AC6A" w14:textId="77777777" w:rsidR="00B221A5" w:rsidRPr="006930D1" w:rsidRDefault="00056F2E">
      <w:pPr>
        <w:rPr>
          <w:rFonts w:eastAsia="Arial MT" w:cs="Arial"/>
          <w:color w:val="000000"/>
          <w:lang w:val="es-ES"/>
        </w:rPr>
      </w:pPr>
      <w:r w:rsidRPr="006930D1">
        <w:rPr>
          <w:rFonts w:eastAsia="Arial MT" w:cs="Arial"/>
          <w:color w:val="000000"/>
          <w:lang w:val="es-ES"/>
        </w:rPr>
        <w:br w:type="page"/>
      </w:r>
    </w:p>
    <w:p w14:paraId="176B2B89" w14:textId="77777777" w:rsidR="00B221A5" w:rsidRPr="006930D1" w:rsidRDefault="00056F2E" w:rsidP="009D0606">
      <w:pPr>
        <w:pStyle w:val="Ttulo3"/>
        <w:rPr>
          <w:rFonts w:eastAsia="Arial" w:cs="Arial"/>
          <w:szCs w:val="24"/>
          <w:lang w:val="es-ES"/>
        </w:rPr>
      </w:pPr>
      <w:bookmarkStart w:id="2" w:name="_Toc220368142"/>
      <w:r w:rsidRPr="006930D1">
        <w:rPr>
          <w:rFonts w:eastAsia="Arial" w:cs="Arial"/>
          <w:szCs w:val="24"/>
          <w:lang w:val="es-ES"/>
        </w:rPr>
        <w:lastRenderedPageBreak/>
        <w:t>OBJETIVO:</w:t>
      </w:r>
      <w:bookmarkEnd w:id="2"/>
    </w:p>
    <w:p w14:paraId="0571F61F" w14:textId="77777777" w:rsidR="00B221A5" w:rsidRPr="006930D1" w:rsidRDefault="00B221A5">
      <w:pPr>
        <w:widowControl w:val="0"/>
        <w:autoSpaceDE w:val="0"/>
        <w:autoSpaceDN w:val="0"/>
        <w:rPr>
          <w:rFonts w:eastAsia="Arial MT" w:cs="Arial"/>
          <w:b/>
          <w:lang w:val="es-ES"/>
        </w:rPr>
      </w:pPr>
    </w:p>
    <w:p w14:paraId="7FFBC472" w14:textId="77777777" w:rsidR="000F6C44" w:rsidRPr="006930D1" w:rsidRDefault="000F6C44" w:rsidP="000F6C44">
      <w:pPr>
        <w:jc w:val="both"/>
        <w:rPr>
          <w:rFonts w:cs="Arial"/>
        </w:rPr>
      </w:pPr>
      <w:bookmarkStart w:id="3" w:name="_Toc157168763"/>
      <w:r w:rsidRPr="006930D1">
        <w:rPr>
          <w:rFonts w:cs="Arial"/>
        </w:rPr>
        <w:t xml:space="preserve">Desarrollar, implementar, actualizar y ejecutar los programas del Sistema de Gestión de la Seguridad y Salud en el Trabajo - SST durante la vigencia 2026, orientados al control de los peligros y la evaluación de los riesgos propios de las actividades de la Administración Municipal de Armenia, con el fin de prevenir los incidentes </w:t>
      </w:r>
      <w:r w:rsidR="00A64FB1">
        <w:rPr>
          <w:rFonts w:cs="Arial"/>
        </w:rPr>
        <w:t xml:space="preserve">y </w:t>
      </w:r>
      <w:r w:rsidR="00A64FB1" w:rsidRPr="006930D1">
        <w:rPr>
          <w:rFonts w:cs="Arial"/>
        </w:rPr>
        <w:t xml:space="preserve">accidentes </w:t>
      </w:r>
      <w:r w:rsidRPr="006930D1">
        <w:rPr>
          <w:rFonts w:cs="Arial"/>
        </w:rPr>
        <w:t>de trabajo, disminuir la ocurrencia de enfermedades laborales y promover ambientes de trabajo seguros y saludables, garantizando el bienestar físico, mental y social de los funcionarios, contratistas, pasantes y demás partes interesadas en los centros de trabajo de la entidad, implementar acciones preventivas y correctivas de acuerdo a la supervisión, inspecciones, medición de los indicadores del SG-SST.</w:t>
      </w:r>
    </w:p>
    <w:p w14:paraId="78AC4AAA" w14:textId="77777777" w:rsidR="000F6C44" w:rsidRPr="006930D1" w:rsidRDefault="000F6C44" w:rsidP="000F6C44">
      <w:pPr>
        <w:jc w:val="both"/>
        <w:rPr>
          <w:rFonts w:cs="Arial"/>
        </w:rPr>
      </w:pPr>
    </w:p>
    <w:p w14:paraId="04B94257" w14:textId="77777777" w:rsidR="000F6C44" w:rsidRPr="006930D1" w:rsidRDefault="006930D1" w:rsidP="006930D1">
      <w:pPr>
        <w:pStyle w:val="Ttulo2"/>
        <w:numPr>
          <w:ilvl w:val="0"/>
          <w:numId w:val="0"/>
        </w:numPr>
        <w:ind w:left="720"/>
        <w:rPr>
          <w:rStyle w:val="WW8Num12z1"/>
          <w:rFonts w:ascii="Arial" w:hAnsi="Arial" w:cs="Times New Roman"/>
        </w:rPr>
      </w:pPr>
      <w:r>
        <w:t>2</w:t>
      </w:r>
      <w:r w:rsidR="000F6C44" w:rsidRPr="006930D1">
        <w:t>.1 OBJETIVOS ESPECÍFICOS</w:t>
      </w:r>
    </w:p>
    <w:p w14:paraId="5232AA58" w14:textId="77777777" w:rsidR="000F6C44" w:rsidRPr="006930D1" w:rsidRDefault="000F6C44" w:rsidP="000F6C44">
      <w:pPr>
        <w:rPr>
          <w:rFonts w:cs="Arial"/>
          <w:b/>
        </w:rPr>
      </w:pPr>
    </w:p>
    <w:p w14:paraId="7CBDC848" w14:textId="77777777" w:rsidR="000F6C44" w:rsidRPr="006930D1" w:rsidRDefault="000F6C44" w:rsidP="000F6C44">
      <w:pPr>
        <w:pStyle w:val="Prrafodelista"/>
        <w:numPr>
          <w:ilvl w:val="0"/>
          <w:numId w:val="4"/>
        </w:numPr>
        <w:spacing w:after="160" w:line="259" w:lineRule="auto"/>
        <w:rPr>
          <w:rFonts w:ascii="Arial" w:hAnsi="Arial" w:cs="Arial"/>
          <w:sz w:val="24"/>
          <w:szCs w:val="24"/>
          <w:lang w:eastAsia="es-CO"/>
        </w:rPr>
      </w:pPr>
      <w:r w:rsidRPr="006930D1">
        <w:rPr>
          <w:rFonts w:ascii="Arial" w:hAnsi="Arial" w:cs="Arial"/>
          <w:sz w:val="24"/>
          <w:szCs w:val="24"/>
          <w:lang w:eastAsia="es-CO"/>
        </w:rPr>
        <w:t>Gestionar de manera adecuada y eficiente los recursos humanos, técnicos y financieros asignados al Sistema de Gestión de la Seguridad y Salud en el Trabajo.</w:t>
      </w:r>
    </w:p>
    <w:p w14:paraId="17B97BF4" w14:textId="77777777" w:rsidR="000F6C44" w:rsidRPr="006930D1" w:rsidRDefault="000F6C44" w:rsidP="000F6C44">
      <w:pPr>
        <w:pStyle w:val="Prrafodelista"/>
        <w:numPr>
          <w:ilvl w:val="0"/>
          <w:numId w:val="4"/>
        </w:numPr>
        <w:spacing w:after="160" w:line="259" w:lineRule="auto"/>
        <w:rPr>
          <w:rFonts w:ascii="Arial" w:hAnsi="Arial" w:cs="Arial"/>
          <w:sz w:val="24"/>
          <w:szCs w:val="24"/>
          <w:lang w:eastAsia="es-CO"/>
        </w:rPr>
      </w:pPr>
      <w:r w:rsidRPr="006930D1">
        <w:rPr>
          <w:rFonts w:ascii="Arial" w:hAnsi="Arial" w:cs="Arial"/>
          <w:sz w:val="24"/>
          <w:szCs w:val="24"/>
          <w:lang w:eastAsia="es-CO"/>
        </w:rPr>
        <w:t>Identificar, evaluar y controlar los peligros y riesgos laborales presentes en los diferentes centros de trabajo de la Administración Municipal.</w:t>
      </w:r>
    </w:p>
    <w:p w14:paraId="41D4F49D" w14:textId="77777777" w:rsidR="000F6C44" w:rsidRPr="006930D1" w:rsidRDefault="000F6C44" w:rsidP="000F6C44">
      <w:pPr>
        <w:pStyle w:val="Prrafodelista"/>
        <w:numPr>
          <w:ilvl w:val="0"/>
          <w:numId w:val="4"/>
        </w:numPr>
        <w:spacing w:after="160" w:line="259" w:lineRule="auto"/>
        <w:rPr>
          <w:rFonts w:ascii="Arial" w:hAnsi="Arial" w:cs="Arial"/>
          <w:sz w:val="24"/>
          <w:szCs w:val="24"/>
          <w:lang w:eastAsia="es-CO"/>
        </w:rPr>
      </w:pPr>
      <w:r w:rsidRPr="006930D1">
        <w:rPr>
          <w:rFonts w:ascii="Arial" w:hAnsi="Arial" w:cs="Arial"/>
          <w:sz w:val="24"/>
          <w:szCs w:val="24"/>
          <w:lang w:eastAsia="es-CO"/>
        </w:rPr>
        <w:t>Capacitar a los funcionarios y contratistas en temas de Seguridad y Salud en el Trabajo, de acuerdo con los riesgos específicos a los que se encuentran expuestos.</w:t>
      </w:r>
    </w:p>
    <w:p w14:paraId="21B914FC" w14:textId="77777777" w:rsidR="000F6C44" w:rsidRPr="006930D1" w:rsidRDefault="000F6C44" w:rsidP="000F6C44">
      <w:pPr>
        <w:pStyle w:val="Prrafodelista"/>
        <w:numPr>
          <w:ilvl w:val="0"/>
          <w:numId w:val="4"/>
        </w:numPr>
        <w:spacing w:after="160" w:line="259" w:lineRule="auto"/>
        <w:rPr>
          <w:rFonts w:ascii="Arial" w:hAnsi="Arial" w:cs="Arial"/>
          <w:sz w:val="24"/>
          <w:szCs w:val="24"/>
          <w:lang w:eastAsia="es-CO"/>
        </w:rPr>
      </w:pPr>
      <w:r w:rsidRPr="006930D1">
        <w:rPr>
          <w:rFonts w:ascii="Arial" w:hAnsi="Arial" w:cs="Arial"/>
          <w:sz w:val="24"/>
          <w:szCs w:val="24"/>
          <w:lang w:eastAsia="es-CO"/>
        </w:rPr>
        <w:t>Promover y mantener el bienestar físico, mental y social de los trabajadores mediante la ejecución de los programas y actividades definidas en el Plan Anual de Trabajo SST.</w:t>
      </w:r>
    </w:p>
    <w:p w14:paraId="5466DB3E" w14:textId="77777777" w:rsidR="000F6C44" w:rsidRPr="006930D1" w:rsidRDefault="000F6C44" w:rsidP="000F6C44">
      <w:pPr>
        <w:pStyle w:val="Prrafodelista"/>
        <w:numPr>
          <w:ilvl w:val="0"/>
          <w:numId w:val="4"/>
        </w:numPr>
        <w:spacing w:after="160" w:line="259" w:lineRule="auto"/>
        <w:rPr>
          <w:rFonts w:ascii="Arial" w:hAnsi="Arial" w:cs="Arial"/>
          <w:sz w:val="24"/>
          <w:szCs w:val="24"/>
          <w:lang w:eastAsia="es-CO"/>
        </w:rPr>
      </w:pPr>
      <w:r w:rsidRPr="006930D1">
        <w:rPr>
          <w:rFonts w:ascii="Arial" w:hAnsi="Arial" w:cs="Arial"/>
          <w:sz w:val="24"/>
          <w:szCs w:val="24"/>
          <w:lang w:eastAsia="es-CO"/>
        </w:rPr>
        <w:t>Prevenir la ocurrencia de enfermedades laborales y disminuir su incidencia mediante la implementación de programas de vigilancia epidemiológica y seguimiento a las condiciones de salud.</w:t>
      </w:r>
    </w:p>
    <w:p w14:paraId="08F5AF3F" w14:textId="77777777" w:rsidR="000F6C44" w:rsidRPr="006930D1" w:rsidRDefault="000F6C44" w:rsidP="000F6C44">
      <w:pPr>
        <w:pStyle w:val="Prrafodelista"/>
        <w:numPr>
          <w:ilvl w:val="0"/>
          <w:numId w:val="4"/>
        </w:numPr>
        <w:spacing w:after="160" w:line="259" w:lineRule="auto"/>
        <w:rPr>
          <w:rFonts w:ascii="Arial" w:hAnsi="Arial" w:cs="Arial"/>
          <w:sz w:val="24"/>
          <w:szCs w:val="24"/>
          <w:lang w:eastAsia="es-CO"/>
        </w:rPr>
      </w:pPr>
      <w:r w:rsidRPr="006930D1">
        <w:rPr>
          <w:rFonts w:ascii="Arial" w:hAnsi="Arial" w:cs="Arial"/>
          <w:sz w:val="24"/>
          <w:szCs w:val="24"/>
          <w:lang w:eastAsia="es-CO"/>
        </w:rPr>
        <w:t>Realizar seguimiento periódico al estado de salud de los funcionarios de la Administración Municipal, de conformidad con los resultados de los exámenes médicos ocupacionales.</w:t>
      </w:r>
    </w:p>
    <w:p w14:paraId="5450AF92" w14:textId="77777777" w:rsidR="000F6C44" w:rsidRPr="006930D1" w:rsidRDefault="000F6C44" w:rsidP="000F6C44">
      <w:pPr>
        <w:pStyle w:val="Prrafodelista"/>
        <w:numPr>
          <w:ilvl w:val="0"/>
          <w:numId w:val="4"/>
        </w:numPr>
        <w:spacing w:after="160" w:line="259" w:lineRule="auto"/>
        <w:rPr>
          <w:rFonts w:ascii="Arial" w:hAnsi="Arial" w:cs="Arial"/>
          <w:sz w:val="24"/>
          <w:szCs w:val="24"/>
          <w:lang w:eastAsia="es-CO"/>
        </w:rPr>
      </w:pPr>
      <w:r w:rsidRPr="006930D1">
        <w:rPr>
          <w:rFonts w:ascii="Arial" w:hAnsi="Arial" w:cs="Arial"/>
          <w:sz w:val="24"/>
          <w:szCs w:val="24"/>
          <w:lang w:eastAsia="es-CO"/>
        </w:rPr>
        <w:t>Prevenir la ocurrencia de accidentes de trabajo y reducir su frecuencia y severidad mediante la implementación de medidas de control y acciones de mejora.</w:t>
      </w:r>
    </w:p>
    <w:p w14:paraId="366C49E8" w14:textId="77777777" w:rsidR="000F6C44" w:rsidRPr="006930D1" w:rsidRDefault="000F6C44" w:rsidP="000F6C44">
      <w:pPr>
        <w:pStyle w:val="Prrafodelista"/>
        <w:numPr>
          <w:ilvl w:val="0"/>
          <w:numId w:val="4"/>
        </w:numPr>
        <w:spacing w:after="160" w:line="259" w:lineRule="auto"/>
        <w:rPr>
          <w:rFonts w:ascii="Arial" w:hAnsi="Arial" w:cs="Arial"/>
          <w:sz w:val="24"/>
          <w:szCs w:val="24"/>
          <w:lang w:eastAsia="es-CO"/>
        </w:rPr>
      </w:pPr>
      <w:r w:rsidRPr="006930D1">
        <w:rPr>
          <w:rFonts w:ascii="Arial" w:hAnsi="Arial" w:cs="Arial"/>
          <w:sz w:val="24"/>
          <w:szCs w:val="24"/>
          <w:lang w:eastAsia="es-CO"/>
        </w:rPr>
        <w:t>Identificar y analizar la causalidad del ausentismo laboral relacionado con el trabajo, con el fin de definir acciones preventivas y correctivas.</w:t>
      </w:r>
    </w:p>
    <w:p w14:paraId="735C2943" w14:textId="77777777" w:rsidR="000F6C44" w:rsidRPr="006930D1" w:rsidRDefault="000F6C44" w:rsidP="000F6C44">
      <w:pPr>
        <w:pStyle w:val="Prrafodelista"/>
        <w:numPr>
          <w:ilvl w:val="0"/>
          <w:numId w:val="4"/>
        </w:numPr>
        <w:spacing w:after="160" w:line="259" w:lineRule="auto"/>
        <w:rPr>
          <w:rFonts w:ascii="Arial" w:hAnsi="Arial" w:cs="Arial"/>
          <w:sz w:val="24"/>
          <w:szCs w:val="24"/>
          <w:lang w:eastAsia="es-CO"/>
        </w:rPr>
      </w:pPr>
      <w:r w:rsidRPr="006930D1">
        <w:rPr>
          <w:rFonts w:ascii="Arial" w:hAnsi="Arial" w:cs="Arial"/>
          <w:sz w:val="24"/>
          <w:szCs w:val="24"/>
          <w:lang w:eastAsia="es-CO"/>
        </w:rPr>
        <w:t>Fortalecer la cultura de autocuidado, prevención y reporte oportuno de incidentes y accidentes de trabajo.</w:t>
      </w:r>
    </w:p>
    <w:p w14:paraId="31A7E354" w14:textId="77777777" w:rsidR="000F6C44" w:rsidRPr="006930D1" w:rsidRDefault="000F6C44" w:rsidP="000F6C44">
      <w:pPr>
        <w:pStyle w:val="Prrafodelista"/>
        <w:numPr>
          <w:ilvl w:val="0"/>
          <w:numId w:val="4"/>
        </w:numPr>
        <w:spacing w:after="160" w:line="259" w:lineRule="auto"/>
        <w:rPr>
          <w:rFonts w:ascii="Arial" w:hAnsi="Arial" w:cs="Arial"/>
          <w:sz w:val="24"/>
          <w:szCs w:val="24"/>
          <w:lang w:eastAsia="es-CO"/>
        </w:rPr>
      </w:pPr>
      <w:r w:rsidRPr="006930D1">
        <w:rPr>
          <w:rFonts w:ascii="Arial" w:hAnsi="Arial" w:cs="Arial"/>
          <w:sz w:val="24"/>
          <w:szCs w:val="24"/>
          <w:lang w:eastAsia="es-CO"/>
        </w:rPr>
        <w:t>Cumplir y ejecutar de manera integral el Plan Anual de Trabajo del Sistema de Gestión de la Seguridad y Salud en el Trabajo correspondiente a la vigencia 2026.</w:t>
      </w:r>
    </w:p>
    <w:p w14:paraId="10C8EE40" w14:textId="77777777" w:rsidR="000F6C44" w:rsidRPr="006930D1" w:rsidRDefault="000F6C44" w:rsidP="000F6C44">
      <w:pPr>
        <w:pStyle w:val="Prrafodelista"/>
        <w:numPr>
          <w:ilvl w:val="0"/>
          <w:numId w:val="4"/>
        </w:numPr>
        <w:spacing w:after="160" w:line="259" w:lineRule="auto"/>
        <w:rPr>
          <w:rFonts w:ascii="Arial" w:hAnsi="Arial" w:cs="Arial"/>
          <w:sz w:val="24"/>
          <w:szCs w:val="24"/>
          <w:lang w:eastAsia="es-CO"/>
        </w:rPr>
      </w:pPr>
      <w:r w:rsidRPr="006930D1">
        <w:rPr>
          <w:rFonts w:ascii="Arial" w:hAnsi="Arial" w:cs="Arial"/>
          <w:sz w:val="24"/>
          <w:szCs w:val="24"/>
          <w:lang w:eastAsia="es-CO"/>
        </w:rPr>
        <w:t>Identificar, evaluar y priorizar los peligros y riesgos laborales en el municipio de Armenia y sus centros de trabajo, para prevenir los accidentes e incidentes de trabajo, mantener actualizada la matriz de riesgos, para mejorar la productividad, y mantener un entorno seguro y saludable, darle un cumplimiento normativo vigente en todo lo relacionado con la seguridad y salud en el trabajo.</w:t>
      </w:r>
    </w:p>
    <w:p w14:paraId="0768D3D6" w14:textId="77777777" w:rsidR="000F6C44" w:rsidRPr="006930D1" w:rsidRDefault="000F6C44" w:rsidP="000F6C44">
      <w:pPr>
        <w:pStyle w:val="Prrafodelista"/>
        <w:numPr>
          <w:ilvl w:val="0"/>
          <w:numId w:val="4"/>
        </w:numPr>
        <w:spacing w:after="160" w:line="259" w:lineRule="auto"/>
        <w:rPr>
          <w:rFonts w:ascii="Arial" w:hAnsi="Arial" w:cs="Arial"/>
          <w:sz w:val="24"/>
          <w:szCs w:val="24"/>
          <w:lang w:eastAsia="es-CO"/>
        </w:rPr>
      </w:pPr>
      <w:r w:rsidRPr="006930D1">
        <w:rPr>
          <w:rFonts w:ascii="Arial" w:hAnsi="Arial" w:cs="Arial"/>
          <w:sz w:val="24"/>
          <w:szCs w:val="24"/>
          <w:lang w:eastAsia="es-CO"/>
        </w:rPr>
        <w:lastRenderedPageBreak/>
        <w:t>Realizar con el recurso humano la identificación de los peligros en los centros trabajos y el municipio de Armenia.</w:t>
      </w:r>
    </w:p>
    <w:p w14:paraId="5B937043" w14:textId="77777777" w:rsidR="000F6C44" w:rsidRPr="006930D1" w:rsidRDefault="000F6C44" w:rsidP="000F6C44">
      <w:pPr>
        <w:pStyle w:val="Prrafodelista"/>
        <w:numPr>
          <w:ilvl w:val="0"/>
          <w:numId w:val="4"/>
        </w:numPr>
        <w:spacing w:after="160" w:line="259" w:lineRule="auto"/>
        <w:rPr>
          <w:rFonts w:ascii="Arial" w:hAnsi="Arial" w:cs="Arial"/>
          <w:sz w:val="24"/>
          <w:szCs w:val="24"/>
          <w:lang w:eastAsia="es-CO"/>
        </w:rPr>
      </w:pPr>
      <w:r w:rsidRPr="006930D1">
        <w:rPr>
          <w:rFonts w:ascii="Arial" w:hAnsi="Arial" w:cs="Arial"/>
          <w:sz w:val="24"/>
          <w:szCs w:val="24"/>
          <w:lang w:eastAsia="es-CO"/>
        </w:rPr>
        <w:t>Revisar y calificar cada uno de los ítems de la tabla de valores de los estándares mínimos del SG-SST de la resolución 0312 de 2019 teniendo en cuenta si se cumple o no.</w:t>
      </w:r>
    </w:p>
    <w:p w14:paraId="4246AB08" w14:textId="77777777" w:rsidR="000F6C44" w:rsidRPr="006930D1" w:rsidRDefault="000F6C44" w:rsidP="000F6C44">
      <w:pPr>
        <w:pStyle w:val="Prrafodelista"/>
        <w:numPr>
          <w:ilvl w:val="0"/>
          <w:numId w:val="4"/>
        </w:numPr>
        <w:spacing w:after="160" w:line="259" w:lineRule="auto"/>
        <w:rPr>
          <w:rFonts w:ascii="Arial" w:hAnsi="Arial" w:cs="Arial"/>
          <w:sz w:val="24"/>
          <w:szCs w:val="24"/>
          <w:lang w:eastAsia="es-CO"/>
        </w:rPr>
      </w:pPr>
      <w:r w:rsidRPr="006930D1">
        <w:rPr>
          <w:rFonts w:ascii="Arial" w:hAnsi="Arial" w:cs="Arial"/>
          <w:sz w:val="24"/>
          <w:szCs w:val="24"/>
          <w:lang w:eastAsia="es-CO"/>
        </w:rPr>
        <w:t>Garantizar y evidenciar la existencia del recurso de talento humano, recurso financiero, técnico y tecnológico para la implementación, actualización del SG-SST y darle una continuidad.</w:t>
      </w:r>
    </w:p>
    <w:p w14:paraId="2C1C32F1" w14:textId="77777777" w:rsidR="000F6C44" w:rsidRPr="006930D1" w:rsidRDefault="000F6C44" w:rsidP="000F6C44">
      <w:pPr>
        <w:pStyle w:val="Prrafodelista"/>
        <w:spacing w:after="160" w:line="259" w:lineRule="auto"/>
        <w:ind w:left="571"/>
        <w:rPr>
          <w:rFonts w:ascii="Arial" w:hAnsi="Arial" w:cs="Arial"/>
          <w:sz w:val="24"/>
          <w:szCs w:val="24"/>
          <w:lang w:eastAsia="es-CO"/>
        </w:rPr>
      </w:pPr>
    </w:p>
    <w:p w14:paraId="50DB03A4" w14:textId="77777777" w:rsidR="000F6C44" w:rsidRPr="006930D1" w:rsidRDefault="000F6C44" w:rsidP="009D0606">
      <w:pPr>
        <w:pStyle w:val="Ttulo3"/>
        <w:rPr>
          <w:rFonts w:cs="Arial"/>
          <w:szCs w:val="24"/>
        </w:rPr>
      </w:pPr>
      <w:bookmarkStart w:id="4" w:name="_Toc220368143"/>
      <w:bookmarkEnd w:id="3"/>
      <w:r w:rsidRPr="006930D1">
        <w:rPr>
          <w:rFonts w:cs="Arial"/>
          <w:szCs w:val="24"/>
        </w:rPr>
        <w:t>ALCANCE</w:t>
      </w:r>
      <w:bookmarkEnd w:id="4"/>
    </w:p>
    <w:p w14:paraId="7D279E57" w14:textId="77777777" w:rsidR="000F6C44" w:rsidRPr="006930D1" w:rsidRDefault="000F6C44" w:rsidP="000F6C44">
      <w:pPr>
        <w:rPr>
          <w:rFonts w:cs="Arial"/>
          <w:b/>
        </w:rPr>
      </w:pPr>
    </w:p>
    <w:p w14:paraId="73F261CB" w14:textId="77777777" w:rsidR="000F6C44" w:rsidRPr="006930D1" w:rsidRDefault="000F6C44" w:rsidP="000F6C44">
      <w:pPr>
        <w:jc w:val="both"/>
        <w:rPr>
          <w:rFonts w:cs="Arial"/>
        </w:rPr>
      </w:pPr>
      <w:r w:rsidRPr="006930D1">
        <w:rPr>
          <w:rFonts w:cs="Arial"/>
        </w:rPr>
        <w:t xml:space="preserve">El Plan Anual de Seguridad y Salud en el Trabajo vigencia 2026 aplica a todas las dependencias de la </w:t>
      </w:r>
      <w:r w:rsidRPr="006930D1">
        <w:rPr>
          <w:rFonts w:cs="Arial"/>
          <w:b/>
          <w:bCs/>
        </w:rPr>
        <w:t>Administración Municipal de Armenia</w:t>
      </w:r>
      <w:r w:rsidRPr="006930D1">
        <w:rPr>
          <w:rFonts w:cs="Arial"/>
        </w:rPr>
        <w:t xml:space="preserve"> y a sus centros de trabajo, siendo de obligatorio cumplimiento para los funcionarios de planta, provisionales, en misión, pasantes, aprendices, contratistas, subcontratistas, proveedores, visitantes y demás partes interesadas que interactúen directa o indirectamente con las actividades de la Entidad, independientemente de su modalidad de vinculación.</w:t>
      </w:r>
    </w:p>
    <w:p w14:paraId="349EA20E" w14:textId="77777777" w:rsidR="000F6C44" w:rsidRPr="006930D1" w:rsidRDefault="000F6C44" w:rsidP="000F6C44">
      <w:pPr>
        <w:jc w:val="both"/>
        <w:rPr>
          <w:rFonts w:cs="Arial"/>
        </w:rPr>
      </w:pPr>
    </w:p>
    <w:p w14:paraId="44BBCFEC" w14:textId="77777777" w:rsidR="000F6C44" w:rsidRPr="006930D1" w:rsidRDefault="000F6C44" w:rsidP="000F6C44">
      <w:pPr>
        <w:jc w:val="both"/>
        <w:rPr>
          <w:rFonts w:cs="Arial"/>
        </w:rPr>
      </w:pPr>
    </w:p>
    <w:p w14:paraId="74246C98" w14:textId="77777777" w:rsidR="000F6C44" w:rsidRPr="006930D1" w:rsidRDefault="000F6C44" w:rsidP="009D0606">
      <w:pPr>
        <w:pStyle w:val="Ttulo3"/>
        <w:rPr>
          <w:rFonts w:cs="Arial"/>
          <w:szCs w:val="24"/>
        </w:rPr>
      </w:pPr>
      <w:r w:rsidRPr="006930D1">
        <w:rPr>
          <w:rFonts w:cs="Arial"/>
          <w:szCs w:val="24"/>
        </w:rPr>
        <w:t xml:space="preserve"> </w:t>
      </w:r>
      <w:bookmarkStart w:id="5" w:name="_Toc220368144"/>
      <w:r w:rsidRPr="006930D1">
        <w:rPr>
          <w:rFonts w:cs="Arial"/>
          <w:szCs w:val="24"/>
        </w:rPr>
        <w:t>MARCO NORMATIVO</w:t>
      </w:r>
      <w:bookmarkEnd w:id="5"/>
    </w:p>
    <w:p w14:paraId="3466F795" w14:textId="77777777" w:rsidR="000F6C44" w:rsidRPr="006930D1" w:rsidRDefault="000F6C44" w:rsidP="000F6C44">
      <w:pPr>
        <w:rPr>
          <w:rFonts w:cs="Arial"/>
          <w:b/>
        </w:rPr>
      </w:pPr>
    </w:p>
    <w:p w14:paraId="6D34EC6A" w14:textId="77777777" w:rsidR="000F6C44" w:rsidRPr="006930D1" w:rsidRDefault="000F6C44" w:rsidP="000F6C44">
      <w:pPr>
        <w:jc w:val="both"/>
        <w:rPr>
          <w:rFonts w:cs="Arial"/>
        </w:rPr>
      </w:pPr>
      <w:r w:rsidRPr="006930D1">
        <w:rPr>
          <w:rFonts w:cs="Arial"/>
        </w:rPr>
        <w:t>El Sistema de Gestión de la Seguridad y Salud en el Trabajo (SG-SST) de la Administración Municipal de Armenia se fundamenta en el marco normativo vigente en Colombia, el cual establece las disposiciones legales orientadas a la protección integral de la seguridad y la salud de los trabajadores, la prevención de los accidentes de trabajo y enfermedades laborales, y la promoción de ambientes de trabajo seguros y saludables.</w:t>
      </w:r>
    </w:p>
    <w:p w14:paraId="225E7DD2" w14:textId="77777777" w:rsidR="000C1C1B" w:rsidRPr="006930D1" w:rsidRDefault="000C1C1B" w:rsidP="000F6C44">
      <w:pPr>
        <w:jc w:val="both"/>
        <w:rPr>
          <w:rFonts w:cs="Arial"/>
        </w:rPr>
      </w:pPr>
    </w:p>
    <w:p w14:paraId="1E0D9691" w14:textId="77777777" w:rsidR="000F6C44" w:rsidRPr="006930D1" w:rsidRDefault="000F6C44" w:rsidP="000F6C44">
      <w:pPr>
        <w:jc w:val="both"/>
        <w:rPr>
          <w:rFonts w:cs="Arial"/>
        </w:rPr>
      </w:pPr>
      <w:r w:rsidRPr="006930D1">
        <w:rPr>
          <w:rFonts w:cs="Arial"/>
        </w:rPr>
        <w:t xml:space="preserve">Como base normativa principal, el SG-SST se rige por lo establecido en el </w:t>
      </w:r>
      <w:r w:rsidRPr="006930D1">
        <w:rPr>
          <w:rFonts w:cs="Arial"/>
          <w:b/>
          <w:bCs/>
        </w:rPr>
        <w:t>Decreto 1072 de 2015</w:t>
      </w:r>
      <w:r w:rsidRPr="006930D1">
        <w:rPr>
          <w:rFonts w:cs="Arial"/>
        </w:rPr>
        <w:t xml:space="preserve">, Decreto Único Reglamentario del Sector Trabajo, en su </w:t>
      </w:r>
      <w:r w:rsidRPr="006930D1">
        <w:rPr>
          <w:rFonts w:cs="Arial"/>
          <w:b/>
          <w:bCs/>
        </w:rPr>
        <w:t>Título IV</w:t>
      </w:r>
      <w:r w:rsidRPr="006930D1">
        <w:rPr>
          <w:rFonts w:cs="Arial"/>
        </w:rPr>
        <w:t xml:space="preserve">, el cual define la obligatoriedad de implementar el Sistema de Gestión de la Seguridad y Salud en el Trabajo bajo el enfoque de mejora continua del ciclo PHVA (Planear, Hacer, Verificar y Actuar). Así mismo, se adoptan los </w:t>
      </w:r>
      <w:r w:rsidRPr="006930D1">
        <w:rPr>
          <w:rFonts w:cs="Arial"/>
          <w:b/>
          <w:bCs/>
        </w:rPr>
        <w:t>Estándares Mínimos definidos en la Resolución 0312 de 2019</w:t>
      </w:r>
      <w:r w:rsidRPr="006930D1">
        <w:rPr>
          <w:rFonts w:cs="Arial"/>
        </w:rPr>
        <w:t>, los cuales establecen los requisitos técnicos y administrativos mínimos que deben cumplir las entidades públicas y privadas en materia de Seguridad y Salud en el Trabajo.</w:t>
      </w:r>
    </w:p>
    <w:p w14:paraId="0A55F1C6" w14:textId="77777777" w:rsidR="000C1C1B" w:rsidRPr="006930D1" w:rsidRDefault="000C1C1B" w:rsidP="000F6C44">
      <w:pPr>
        <w:jc w:val="both"/>
        <w:rPr>
          <w:rFonts w:cs="Arial"/>
        </w:rPr>
      </w:pPr>
    </w:p>
    <w:p w14:paraId="1E28FC25" w14:textId="77777777" w:rsidR="000F6C44" w:rsidRPr="006930D1" w:rsidRDefault="000F6C44" w:rsidP="000F6C44">
      <w:pPr>
        <w:jc w:val="both"/>
        <w:rPr>
          <w:rFonts w:cs="Arial"/>
        </w:rPr>
      </w:pPr>
      <w:r w:rsidRPr="006930D1">
        <w:rPr>
          <w:rFonts w:cs="Arial"/>
        </w:rPr>
        <w:t>No obstante, el cumplimiento del SG-SST no se limita exclusivamente a las disposiciones señaladas en los estándares mínimos, por lo cual la Administración Municipal identifica, evalúa y da cumplimiento a otros decretos, resoluciones y leyes vigentes que, aunque no se encuentren expresamente incluidos en la Resolución 0312 de 2019, son de obligatorio cumplimiento y aplicables de acuerdo con la naturaleza de las actividades desarrolladas por la Entidad.</w:t>
      </w:r>
    </w:p>
    <w:p w14:paraId="255DC84C" w14:textId="77777777" w:rsidR="000C1C1B" w:rsidRPr="006930D1" w:rsidRDefault="000C1C1B" w:rsidP="000F6C44">
      <w:pPr>
        <w:jc w:val="both"/>
        <w:rPr>
          <w:rFonts w:cs="Arial"/>
        </w:rPr>
      </w:pPr>
    </w:p>
    <w:p w14:paraId="19D9CF92" w14:textId="77777777" w:rsidR="000F6C44" w:rsidRPr="006930D1" w:rsidRDefault="000F6C44" w:rsidP="000F6C44">
      <w:pPr>
        <w:jc w:val="both"/>
        <w:rPr>
          <w:rFonts w:cs="Arial"/>
        </w:rPr>
      </w:pPr>
      <w:r w:rsidRPr="006930D1">
        <w:rPr>
          <w:rFonts w:cs="Arial"/>
        </w:rPr>
        <w:lastRenderedPageBreak/>
        <w:t>Dentro del marco normativo complementario aplicable al SG-SST se encuentran, entre otras, las siguientes disposiciones legales:</w:t>
      </w:r>
    </w:p>
    <w:p w14:paraId="53FCE436" w14:textId="77777777" w:rsidR="000C1C1B" w:rsidRPr="006930D1" w:rsidRDefault="000C1C1B" w:rsidP="000F6C44">
      <w:pPr>
        <w:jc w:val="both"/>
        <w:rPr>
          <w:rFonts w:cs="Arial"/>
        </w:rPr>
      </w:pPr>
    </w:p>
    <w:p w14:paraId="27CBD318" w14:textId="77777777" w:rsidR="000F6C44" w:rsidRPr="006930D1" w:rsidRDefault="000F6C44" w:rsidP="000F6C44">
      <w:pPr>
        <w:pStyle w:val="Prrafodelista"/>
        <w:numPr>
          <w:ilvl w:val="0"/>
          <w:numId w:val="12"/>
        </w:numPr>
        <w:spacing w:after="160" w:line="259" w:lineRule="auto"/>
        <w:rPr>
          <w:rFonts w:ascii="Arial" w:hAnsi="Arial" w:cs="Arial"/>
          <w:sz w:val="24"/>
          <w:szCs w:val="24"/>
          <w:lang w:eastAsia="es-CO"/>
        </w:rPr>
      </w:pPr>
      <w:r w:rsidRPr="006930D1">
        <w:rPr>
          <w:rFonts w:ascii="Arial" w:hAnsi="Arial" w:cs="Arial"/>
          <w:b/>
          <w:bCs/>
          <w:sz w:val="24"/>
          <w:szCs w:val="24"/>
          <w:lang w:eastAsia="es-CO"/>
        </w:rPr>
        <w:t>Ley 1562 de 2012</w:t>
      </w:r>
      <w:r w:rsidRPr="006930D1">
        <w:rPr>
          <w:rFonts w:ascii="Arial" w:hAnsi="Arial" w:cs="Arial"/>
          <w:sz w:val="24"/>
          <w:szCs w:val="24"/>
          <w:lang w:eastAsia="es-CO"/>
        </w:rPr>
        <w:t>, por la cual se modifica el Sistema General de Riesgos Laborales y se dictan disposiciones en materia de Seguridad y Salud en el Trabajo.</w:t>
      </w:r>
    </w:p>
    <w:p w14:paraId="516E13A3" w14:textId="77777777" w:rsidR="000F6C44" w:rsidRPr="006930D1" w:rsidRDefault="000F6C44" w:rsidP="000F6C44">
      <w:pPr>
        <w:pStyle w:val="Prrafodelista"/>
        <w:numPr>
          <w:ilvl w:val="0"/>
          <w:numId w:val="12"/>
        </w:numPr>
        <w:spacing w:after="160" w:line="259" w:lineRule="auto"/>
        <w:rPr>
          <w:rFonts w:ascii="Arial" w:eastAsia="Times New Roman" w:hAnsi="Arial" w:cs="Arial"/>
          <w:sz w:val="24"/>
          <w:szCs w:val="24"/>
          <w:lang w:eastAsia="es-CO"/>
        </w:rPr>
      </w:pPr>
      <w:r w:rsidRPr="006930D1">
        <w:rPr>
          <w:rFonts w:ascii="Arial" w:eastAsia="Times New Roman" w:hAnsi="Arial" w:cs="Arial"/>
          <w:b/>
          <w:bCs/>
          <w:sz w:val="24"/>
          <w:szCs w:val="24"/>
          <w:lang w:eastAsia="es-CO"/>
        </w:rPr>
        <w:t>Decreto 1072 de 2015</w:t>
      </w:r>
      <w:r w:rsidRPr="006930D1">
        <w:rPr>
          <w:rFonts w:ascii="Arial" w:eastAsia="Times New Roman" w:hAnsi="Arial" w:cs="Arial"/>
          <w:sz w:val="24"/>
          <w:szCs w:val="24"/>
          <w:lang w:eastAsia="es-CO"/>
        </w:rPr>
        <w:t>, Decreto Único Reglamentario del Sector Trabajo, Título IV – Sistema de Gestión de la Seguridad y Salud en el Trabajo.</w:t>
      </w:r>
    </w:p>
    <w:p w14:paraId="06F43ED7" w14:textId="77777777" w:rsidR="000F6C44" w:rsidRPr="006930D1" w:rsidRDefault="000F6C44" w:rsidP="000F6C44">
      <w:pPr>
        <w:pStyle w:val="Prrafodelista"/>
        <w:numPr>
          <w:ilvl w:val="0"/>
          <w:numId w:val="12"/>
        </w:numPr>
        <w:spacing w:after="160" w:line="259" w:lineRule="auto"/>
        <w:rPr>
          <w:rFonts w:ascii="Arial" w:eastAsia="Times New Roman" w:hAnsi="Arial" w:cs="Arial"/>
          <w:sz w:val="24"/>
          <w:szCs w:val="24"/>
          <w:lang w:eastAsia="es-CO"/>
        </w:rPr>
      </w:pPr>
      <w:r w:rsidRPr="006930D1">
        <w:rPr>
          <w:rFonts w:ascii="Arial" w:eastAsia="Times New Roman" w:hAnsi="Arial" w:cs="Arial"/>
          <w:b/>
          <w:bCs/>
          <w:sz w:val="24"/>
          <w:szCs w:val="24"/>
          <w:lang w:eastAsia="es-CO"/>
        </w:rPr>
        <w:t>Resolución 0312 de 2019</w:t>
      </w:r>
      <w:r w:rsidRPr="006930D1">
        <w:rPr>
          <w:rFonts w:ascii="Arial" w:eastAsia="Times New Roman" w:hAnsi="Arial" w:cs="Arial"/>
          <w:sz w:val="24"/>
          <w:szCs w:val="24"/>
          <w:lang w:eastAsia="es-CO"/>
        </w:rPr>
        <w:t>, por la cual se definen los estándares mínimos del Sistema de Gestión de la Seguridad y Salud en el Trabajo.</w:t>
      </w:r>
    </w:p>
    <w:p w14:paraId="631B83C9" w14:textId="77777777" w:rsidR="000F6C44" w:rsidRPr="006930D1" w:rsidRDefault="000F6C44" w:rsidP="000F6C44">
      <w:pPr>
        <w:pStyle w:val="Prrafodelista"/>
        <w:numPr>
          <w:ilvl w:val="0"/>
          <w:numId w:val="12"/>
        </w:numPr>
        <w:spacing w:after="160" w:line="259" w:lineRule="auto"/>
        <w:rPr>
          <w:rFonts w:ascii="Arial" w:eastAsia="Times New Roman" w:hAnsi="Arial" w:cs="Arial"/>
          <w:sz w:val="24"/>
          <w:szCs w:val="24"/>
          <w:lang w:eastAsia="es-CO"/>
        </w:rPr>
      </w:pPr>
      <w:r w:rsidRPr="006930D1">
        <w:rPr>
          <w:rFonts w:ascii="Arial" w:eastAsia="Times New Roman" w:hAnsi="Arial" w:cs="Arial"/>
          <w:b/>
          <w:bCs/>
          <w:sz w:val="24"/>
          <w:szCs w:val="24"/>
          <w:lang w:eastAsia="es-CO"/>
        </w:rPr>
        <w:t>Resolución 2646 de 2008</w:t>
      </w:r>
      <w:r w:rsidRPr="006930D1">
        <w:rPr>
          <w:rFonts w:ascii="Arial" w:eastAsia="Times New Roman" w:hAnsi="Arial" w:cs="Arial"/>
          <w:sz w:val="24"/>
          <w:szCs w:val="24"/>
          <w:lang w:eastAsia="es-CO"/>
        </w:rPr>
        <w:t xml:space="preserve"> y </w:t>
      </w:r>
      <w:r w:rsidRPr="006930D1">
        <w:rPr>
          <w:rFonts w:ascii="Arial" w:eastAsia="Times New Roman" w:hAnsi="Arial" w:cs="Arial"/>
          <w:b/>
          <w:bCs/>
          <w:sz w:val="24"/>
          <w:szCs w:val="24"/>
          <w:lang w:eastAsia="es-CO"/>
        </w:rPr>
        <w:t>Resolución 1356 de 2012</w:t>
      </w:r>
      <w:r w:rsidRPr="006930D1">
        <w:rPr>
          <w:rFonts w:ascii="Arial" w:eastAsia="Times New Roman" w:hAnsi="Arial" w:cs="Arial"/>
          <w:sz w:val="24"/>
          <w:szCs w:val="24"/>
          <w:lang w:eastAsia="es-CO"/>
        </w:rPr>
        <w:t>, relacionadas con la identificación, evaluación, prevención, intervención y monitoreo de los factores de riesgo psicosocial.</w:t>
      </w:r>
    </w:p>
    <w:p w14:paraId="319BB360" w14:textId="77777777" w:rsidR="000F6C44" w:rsidRPr="006930D1" w:rsidRDefault="000F6C44" w:rsidP="000F6C44">
      <w:pPr>
        <w:pStyle w:val="Prrafodelista"/>
        <w:numPr>
          <w:ilvl w:val="0"/>
          <w:numId w:val="12"/>
        </w:numPr>
        <w:spacing w:after="160" w:line="259" w:lineRule="auto"/>
        <w:rPr>
          <w:rFonts w:ascii="Arial" w:eastAsia="Times New Roman" w:hAnsi="Arial" w:cs="Arial"/>
          <w:sz w:val="24"/>
          <w:szCs w:val="24"/>
          <w:lang w:eastAsia="es-CO"/>
        </w:rPr>
      </w:pPr>
      <w:r w:rsidRPr="006930D1">
        <w:rPr>
          <w:rFonts w:ascii="Arial" w:eastAsia="Times New Roman" w:hAnsi="Arial" w:cs="Arial"/>
          <w:b/>
          <w:bCs/>
          <w:sz w:val="24"/>
          <w:szCs w:val="24"/>
          <w:lang w:eastAsia="es-CO"/>
        </w:rPr>
        <w:t>Resolución 1565 de 2014</w:t>
      </w:r>
      <w:r w:rsidRPr="006930D1">
        <w:rPr>
          <w:rFonts w:ascii="Arial" w:eastAsia="Times New Roman" w:hAnsi="Arial" w:cs="Arial"/>
          <w:sz w:val="24"/>
          <w:szCs w:val="24"/>
          <w:lang w:eastAsia="es-CO"/>
        </w:rPr>
        <w:t xml:space="preserve"> y </w:t>
      </w:r>
      <w:r w:rsidRPr="006930D1">
        <w:rPr>
          <w:rFonts w:ascii="Arial" w:eastAsia="Times New Roman" w:hAnsi="Arial" w:cs="Arial"/>
          <w:b/>
          <w:bCs/>
          <w:sz w:val="24"/>
          <w:szCs w:val="24"/>
          <w:lang w:eastAsia="es-CO"/>
        </w:rPr>
        <w:t>Ley 1503 de 2011</w:t>
      </w:r>
      <w:r w:rsidRPr="006930D1">
        <w:rPr>
          <w:rFonts w:ascii="Arial" w:eastAsia="Times New Roman" w:hAnsi="Arial" w:cs="Arial"/>
          <w:sz w:val="24"/>
          <w:szCs w:val="24"/>
          <w:lang w:eastAsia="es-CO"/>
        </w:rPr>
        <w:t>, relacionadas con la capacitación en seguridad vial y la implementación del Plan Estratégico de Seguridad Vial.</w:t>
      </w:r>
    </w:p>
    <w:p w14:paraId="3D3D3F4B" w14:textId="77777777" w:rsidR="000F6C44" w:rsidRPr="006930D1" w:rsidRDefault="000F6C44" w:rsidP="000F6C44">
      <w:pPr>
        <w:pStyle w:val="Prrafodelista"/>
        <w:numPr>
          <w:ilvl w:val="0"/>
          <w:numId w:val="12"/>
        </w:numPr>
        <w:spacing w:after="160" w:line="259" w:lineRule="auto"/>
        <w:rPr>
          <w:rFonts w:ascii="Arial" w:eastAsia="Times New Roman" w:hAnsi="Arial" w:cs="Arial"/>
          <w:sz w:val="24"/>
          <w:szCs w:val="24"/>
          <w:lang w:eastAsia="es-CO"/>
        </w:rPr>
      </w:pPr>
      <w:r w:rsidRPr="006930D1">
        <w:rPr>
          <w:rFonts w:ascii="Arial" w:eastAsia="Times New Roman" w:hAnsi="Arial" w:cs="Arial"/>
          <w:b/>
          <w:bCs/>
          <w:sz w:val="24"/>
          <w:szCs w:val="24"/>
          <w:lang w:eastAsia="es-CO"/>
        </w:rPr>
        <w:t>Decreto 1607 de 2002</w:t>
      </w:r>
      <w:r w:rsidRPr="006930D1">
        <w:rPr>
          <w:rFonts w:ascii="Arial" w:eastAsia="Times New Roman" w:hAnsi="Arial" w:cs="Arial"/>
          <w:sz w:val="24"/>
          <w:szCs w:val="24"/>
          <w:lang w:eastAsia="es-CO"/>
        </w:rPr>
        <w:t>, por el cual se clasifica la actividad económica según el nivel de riesgo, compilado en el Decreto 1072 de 2015.</w:t>
      </w:r>
    </w:p>
    <w:p w14:paraId="71B1FCC8" w14:textId="77777777" w:rsidR="000F6C44" w:rsidRPr="006930D1" w:rsidRDefault="000F6C44" w:rsidP="000F6C44">
      <w:pPr>
        <w:pStyle w:val="Prrafodelista"/>
        <w:numPr>
          <w:ilvl w:val="0"/>
          <w:numId w:val="12"/>
        </w:numPr>
        <w:spacing w:after="160" w:line="259" w:lineRule="auto"/>
        <w:rPr>
          <w:rFonts w:ascii="Arial" w:eastAsia="Times New Roman" w:hAnsi="Arial" w:cs="Arial"/>
          <w:sz w:val="24"/>
          <w:szCs w:val="24"/>
          <w:lang w:eastAsia="es-CO"/>
        </w:rPr>
      </w:pPr>
      <w:r w:rsidRPr="006930D1">
        <w:rPr>
          <w:rFonts w:ascii="Arial" w:eastAsia="Times New Roman" w:hAnsi="Arial" w:cs="Arial"/>
          <w:b/>
          <w:bCs/>
          <w:sz w:val="24"/>
          <w:szCs w:val="24"/>
          <w:lang w:eastAsia="es-CO"/>
        </w:rPr>
        <w:t>Decreto 1295 de 1994</w:t>
      </w:r>
      <w:r w:rsidRPr="006930D1">
        <w:rPr>
          <w:rFonts w:ascii="Arial" w:eastAsia="Times New Roman" w:hAnsi="Arial" w:cs="Arial"/>
          <w:sz w:val="24"/>
          <w:szCs w:val="24"/>
          <w:lang w:eastAsia="es-CO"/>
        </w:rPr>
        <w:t>, por el cual se determina la organización y administración del Sistema General de Riesgos Profesionales, en lo no modificado por la Ley 1562 de 2012.</w:t>
      </w:r>
    </w:p>
    <w:p w14:paraId="543B6B02" w14:textId="77777777" w:rsidR="000F6C44" w:rsidRPr="006930D1" w:rsidRDefault="000F6C44" w:rsidP="000F6C44">
      <w:pPr>
        <w:pStyle w:val="Prrafodelista"/>
        <w:numPr>
          <w:ilvl w:val="0"/>
          <w:numId w:val="12"/>
        </w:numPr>
        <w:spacing w:after="160" w:line="259" w:lineRule="auto"/>
        <w:jc w:val="left"/>
        <w:rPr>
          <w:rFonts w:ascii="Arial" w:eastAsia="Times New Roman" w:hAnsi="Arial" w:cs="Arial"/>
          <w:sz w:val="24"/>
          <w:szCs w:val="24"/>
          <w:lang w:eastAsia="es-CO"/>
        </w:rPr>
      </w:pPr>
      <w:r w:rsidRPr="006930D1">
        <w:rPr>
          <w:rFonts w:ascii="Arial" w:eastAsia="Times New Roman" w:hAnsi="Arial" w:cs="Arial"/>
          <w:b/>
          <w:bCs/>
          <w:sz w:val="24"/>
          <w:szCs w:val="24"/>
          <w:lang w:eastAsia="es-CO"/>
        </w:rPr>
        <w:t>Decreto 2090 de 2003</w:t>
      </w:r>
      <w:r w:rsidRPr="006930D1">
        <w:rPr>
          <w:rFonts w:ascii="Arial" w:eastAsia="Times New Roman" w:hAnsi="Arial" w:cs="Arial"/>
          <w:sz w:val="24"/>
          <w:szCs w:val="24"/>
          <w:lang w:eastAsia="es-CO"/>
        </w:rPr>
        <w:t>, por el cual se definen las actividades de alto riesgo para la salud del trabajador, aplicable según las funciones desempeñadas.</w:t>
      </w:r>
    </w:p>
    <w:p w14:paraId="06850A5D" w14:textId="77777777" w:rsidR="000F6C44" w:rsidRPr="006930D1" w:rsidRDefault="000F6C44" w:rsidP="000F6C44">
      <w:pPr>
        <w:pStyle w:val="Prrafodelista"/>
        <w:numPr>
          <w:ilvl w:val="0"/>
          <w:numId w:val="12"/>
        </w:numPr>
        <w:spacing w:after="160" w:line="259" w:lineRule="auto"/>
        <w:rPr>
          <w:rFonts w:ascii="Arial" w:eastAsia="Times New Roman" w:hAnsi="Arial" w:cs="Arial"/>
          <w:sz w:val="24"/>
          <w:szCs w:val="24"/>
          <w:lang w:eastAsia="es-CO"/>
        </w:rPr>
      </w:pPr>
      <w:r w:rsidRPr="006930D1">
        <w:rPr>
          <w:rFonts w:ascii="Arial" w:eastAsia="Times New Roman" w:hAnsi="Arial" w:cs="Arial"/>
          <w:b/>
          <w:bCs/>
          <w:sz w:val="24"/>
          <w:szCs w:val="24"/>
          <w:lang w:eastAsia="es-CO"/>
        </w:rPr>
        <w:t>Resolución 2013 de 1986</w:t>
      </w:r>
      <w:r w:rsidRPr="006930D1">
        <w:rPr>
          <w:rFonts w:ascii="Arial" w:eastAsia="Times New Roman" w:hAnsi="Arial" w:cs="Arial"/>
          <w:sz w:val="24"/>
          <w:szCs w:val="24"/>
          <w:lang w:eastAsia="es-CO"/>
        </w:rPr>
        <w:t>, por la cual se reglamenta la organización y funcionamiento del Comité Paritario de Seguridad y Salud en el Trabajo (COPASST).</w:t>
      </w:r>
    </w:p>
    <w:p w14:paraId="38EB5512" w14:textId="77777777" w:rsidR="000F6C44" w:rsidRPr="006930D1" w:rsidRDefault="000F6C44" w:rsidP="000F6C44">
      <w:pPr>
        <w:pStyle w:val="Prrafodelista"/>
        <w:numPr>
          <w:ilvl w:val="0"/>
          <w:numId w:val="12"/>
        </w:numPr>
        <w:spacing w:after="160" w:line="259" w:lineRule="auto"/>
        <w:rPr>
          <w:rFonts w:ascii="Arial" w:eastAsia="Times New Roman" w:hAnsi="Arial" w:cs="Arial"/>
          <w:sz w:val="24"/>
          <w:szCs w:val="24"/>
          <w:lang w:eastAsia="es-CO"/>
        </w:rPr>
      </w:pPr>
      <w:r w:rsidRPr="006930D1">
        <w:rPr>
          <w:rFonts w:ascii="Arial" w:eastAsia="Times New Roman" w:hAnsi="Arial" w:cs="Arial"/>
          <w:b/>
          <w:bCs/>
          <w:sz w:val="24"/>
          <w:szCs w:val="24"/>
          <w:lang w:eastAsia="es-CO"/>
        </w:rPr>
        <w:t>Resolución 2346 de 2007</w:t>
      </w:r>
      <w:r w:rsidRPr="006930D1">
        <w:rPr>
          <w:rFonts w:ascii="Arial" w:eastAsia="Times New Roman" w:hAnsi="Arial" w:cs="Arial"/>
          <w:sz w:val="24"/>
          <w:szCs w:val="24"/>
          <w:lang w:eastAsia="es-CO"/>
        </w:rPr>
        <w:t>, por la cual se regula la práctica de evaluaciones médicas ocupacionales y el manejo y contenido de las historias clínicas ocupacionales.</w:t>
      </w:r>
    </w:p>
    <w:p w14:paraId="372B71BA" w14:textId="77777777" w:rsidR="000F6C44" w:rsidRPr="006930D1" w:rsidRDefault="000F6C44" w:rsidP="000F6C44">
      <w:pPr>
        <w:pStyle w:val="Prrafodelista"/>
        <w:numPr>
          <w:ilvl w:val="0"/>
          <w:numId w:val="12"/>
        </w:numPr>
        <w:spacing w:after="160" w:line="259" w:lineRule="auto"/>
        <w:rPr>
          <w:rFonts w:ascii="Arial" w:eastAsia="Times New Roman" w:hAnsi="Arial" w:cs="Arial"/>
          <w:sz w:val="24"/>
          <w:szCs w:val="24"/>
          <w:lang w:eastAsia="es-CO"/>
        </w:rPr>
      </w:pPr>
      <w:r w:rsidRPr="006930D1">
        <w:rPr>
          <w:rFonts w:ascii="Arial" w:eastAsia="Times New Roman" w:hAnsi="Arial" w:cs="Arial"/>
          <w:b/>
          <w:bCs/>
          <w:sz w:val="24"/>
          <w:szCs w:val="24"/>
          <w:lang w:eastAsia="es-CO"/>
        </w:rPr>
        <w:t>Resolución 1401 de 2007</w:t>
      </w:r>
      <w:r w:rsidRPr="006930D1">
        <w:rPr>
          <w:rFonts w:ascii="Arial" w:eastAsia="Times New Roman" w:hAnsi="Arial" w:cs="Arial"/>
          <w:sz w:val="24"/>
          <w:szCs w:val="24"/>
          <w:lang w:eastAsia="es-CO"/>
        </w:rPr>
        <w:t>, por la cual se reglamenta la investigación de incidentes y accidentes de trabajo.</w:t>
      </w:r>
    </w:p>
    <w:p w14:paraId="18B6AC69" w14:textId="77777777" w:rsidR="000F6C44" w:rsidRPr="006930D1" w:rsidRDefault="000F6C44" w:rsidP="000F6C44">
      <w:pPr>
        <w:pStyle w:val="Prrafodelista"/>
        <w:numPr>
          <w:ilvl w:val="0"/>
          <w:numId w:val="12"/>
        </w:numPr>
        <w:spacing w:after="160" w:line="259" w:lineRule="auto"/>
        <w:ind w:left="1416" w:hanging="1056"/>
        <w:rPr>
          <w:rFonts w:ascii="Arial" w:eastAsia="Times New Roman" w:hAnsi="Arial" w:cs="Arial"/>
          <w:sz w:val="24"/>
          <w:szCs w:val="24"/>
          <w:lang w:eastAsia="es-CO"/>
        </w:rPr>
      </w:pPr>
      <w:r w:rsidRPr="006930D1">
        <w:rPr>
          <w:rFonts w:ascii="Arial" w:eastAsia="Times New Roman" w:hAnsi="Arial" w:cs="Arial"/>
          <w:b/>
          <w:bCs/>
          <w:sz w:val="24"/>
          <w:szCs w:val="24"/>
          <w:lang w:eastAsia="es-CO"/>
        </w:rPr>
        <w:t>Ley 1010 de 2006</w:t>
      </w:r>
      <w:r w:rsidRPr="006930D1">
        <w:rPr>
          <w:rFonts w:ascii="Arial" w:eastAsia="Times New Roman" w:hAnsi="Arial" w:cs="Arial"/>
          <w:sz w:val="24"/>
          <w:szCs w:val="24"/>
          <w:lang w:eastAsia="es-CO"/>
        </w:rPr>
        <w:t>, por medio de la cual se adoptan medidas para prevenir, corregir y sancionar el acoso laboral y otras formas de hostigamiento en el marco de las relaciones de trabajo.</w:t>
      </w:r>
    </w:p>
    <w:p w14:paraId="330108B2" w14:textId="77777777" w:rsidR="000F6C44" w:rsidRPr="006930D1" w:rsidRDefault="000F6C44" w:rsidP="000F6C44">
      <w:pPr>
        <w:jc w:val="both"/>
        <w:rPr>
          <w:rFonts w:cs="Arial"/>
        </w:rPr>
      </w:pPr>
      <w:r w:rsidRPr="006930D1">
        <w:rPr>
          <w:rFonts w:cs="Arial"/>
        </w:rPr>
        <w:t xml:space="preserve">La Administración Municipal Central define y mantiene actualizada la </w:t>
      </w:r>
      <w:r w:rsidRPr="006930D1">
        <w:rPr>
          <w:rFonts w:cs="Arial"/>
          <w:b/>
          <w:bCs/>
        </w:rPr>
        <w:t>Matriz de Cumplimiento Legal del SG-SST</w:t>
      </w:r>
      <w:r w:rsidRPr="006930D1">
        <w:rPr>
          <w:rFonts w:cs="Arial"/>
        </w:rPr>
        <w:t>, como herramienta fundamental para garantizar la identificación, evaluación y seguimiento de los requisitos legales y de otra índole aplicables en materia de Seguridad y Salud en el Trabajo. Para el análisis del cumplimiento legal se consideran, como mínimo, las siguientes actividades:</w:t>
      </w:r>
    </w:p>
    <w:p w14:paraId="49B75241" w14:textId="77777777" w:rsidR="000C1C1B" w:rsidRPr="006930D1" w:rsidRDefault="000C1C1B" w:rsidP="000F6C44">
      <w:pPr>
        <w:jc w:val="both"/>
        <w:rPr>
          <w:rFonts w:cs="Arial"/>
        </w:rPr>
      </w:pPr>
    </w:p>
    <w:p w14:paraId="18DB6D4B" w14:textId="77777777" w:rsidR="000F6C44" w:rsidRPr="006930D1" w:rsidRDefault="000F6C44" w:rsidP="000F6C44">
      <w:pPr>
        <w:pStyle w:val="Prrafodelista"/>
        <w:numPr>
          <w:ilvl w:val="0"/>
          <w:numId w:val="11"/>
        </w:numPr>
        <w:spacing w:after="160" w:line="259" w:lineRule="auto"/>
        <w:rPr>
          <w:rFonts w:ascii="Arial" w:eastAsia="Times New Roman" w:hAnsi="Arial" w:cs="Arial"/>
          <w:sz w:val="24"/>
          <w:szCs w:val="24"/>
          <w:lang w:eastAsia="es-CO"/>
        </w:rPr>
      </w:pPr>
      <w:r w:rsidRPr="006930D1">
        <w:rPr>
          <w:rFonts w:ascii="Arial" w:eastAsia="Times New Roman" w:hAnsi="Arial" w:cs="Arial"/>
          <w:sz w:val="24"/>
          <w:szCs w:val="24"/>
          <w:lang w:eastAsia="es-CO"/>
        </w:rPr>
        <w:t>Definición de las fuentes de acceso y consulta de la normatividad aplicable al SG-SST.</w:t>
      </w:r>
    </w:p>
    <w:p w14:paraId="34FC9C61" w14:textId="77777777" w:rsidR="000F6C44" w:rsidRPr="006930D1" w:rsidRDefault="000F6C44" w:rsidP="000F6C44">
      <w:pPr>
        <w:pStyle w:val="Prrafodelista"/>
        <w:numPr>
          <w:ilvl w:val="0"/>
          <w:numId w:val="11"/>
        </w:numPr>
        <w:spacing w:after="160" w:line="259" w:lineRule="auto"/>
        <w:rPr>
          <w:rFonts w:ascii="Arial" w:eastAsia="Times New Roman" w:hAnsi="Arial" w:cs="Arial"/>
          <w:sz w:val="24"/>
          <w:szCs w:val="24"/>
          <w:lang w:eastAsia="es-CO"/>
        </w:rPr>
      </w:pPr>
      <w:r w:rsidRPr="006930D1">
        <w:rPr>
          <w:rFonts w:ascii="Arial" w:eastAsia="Times New Roman" w:hAnsi="Arial" w:cs="Arial"/>
          <w:sz w:val="24"/>
          <w:szCs w:val="24"/>
          <w:lang w:eastAsia="es-CO"/>
        </w:rPr>
        <w:t>Revisión trimestral del cumplimiento de los requisitos legales y otros compromisos aplicables.</w:t>
      </w:r>
    </w:p>
    <w:p w14:paraId="5A080FAD" w14:textId="77777777" w:rsidR="000F6C44" w:rsidRPr="006930D1" w:rsidRDefault="000F6C44" w:rsidP="000F6C44">
      <w:pPr>
        <w:pStyle w:val="Prrafodelista"/>
        <w:numPr>
          <w:ilvl w:val="0"/>
          <w:numId w:val="11"/>
        </w:numPr>
        <w:spacing w:after="160" w:line="259" w:lineRule="auto"/>
        <w:rPr>
          <w:rFonts w:ascii="Arial" w:eastAsia="Times New Roman" w:hAnsi="Arial" w:cs="Arial"/>
          <w:sz w:val="24"/>
          <w:szCs w:val="24"/>
          <w:lang w:eastAsia="es-CO"/>
        </w:rPr>
      </w:pPr>
      <w:r w:rsidRPr="006930D1">
        <w:rPr>
          <w:rFonts w:ascii="Arial" w:eastAsia="Times New Roman" w:hAnsi="Arial" w:cs="Arial"/>
          <w:sz w:val="24"/>
          <w:szCs w:val="24"/>
          <w:lang w:eastAsia="es-CO"/>
        </w:rPr>
        <w:t>Identificación y evaluación de los aspectos legales y de otra índole relacionados con la Seguridad y Salud en el Trabajo.</w:t>
      </w:r>
    </w:p>
    <w:p w14:paraId="024E42E8" w14:textId="77777777" w:rsidR="000F6C44" w:rsidRPr="006930D1" w:rsidRDefault="000F6C44" w:rsidP="000F6C44">
      <w:pPr>
        <w:pStyle w:val="Prrafodelista"/>
        <w:numPr>
          <w:ilvl w:val="0"/>
          <w:numId w:val="11"/>
        </w:numPr>
        <w:spacing w:after="160" w:line="259" w:lineRule="auto"/>
        <w:rPr>
          <w:rFonts w:ascii="Arial" w:eastAsia="Times New Roman" w:hAnsi="Arial" w:cs="Arial"/>
          <w:sz w:val="24"/>
          <w:szCs w:val="24"/>
          <w:lang w:eastAsia="es-CO"/>
        </w:rPr>
      </w:pPr>
      <w:r w:rsidRPr="006930D1">
        <w:rPr>
          <w:rFonts w:ascii="Arial" w:eastAsia="Times New Roman" w:hAnsi="Arial" w:cs="Arial"/>
          <w:sz w:val="24"/>
          <w:szCs w:val="24"/>
          <w:lang w:eastAsia="es-CO"/>
        </w:rPr>
        <w:lastRenderedPageBreak/>
        <w:t>Registro, actualización y seguimiento de los requisitos legales en la Matriz Legal del SG-SST.</w:t>
      </w:r>
    </w:p>
    <w:p w14:paraId="0F6976B5" w14:textId="77777777" w:rsidR="000F6C44" w:rsidRPr="006930D1" w:rsidRDefault="000F6C44" w:rsidP="000F6C44">
      <w:pPr>
        <w:pStyle w:val="Prrafodelista"/>
        <w:spacing w:after="160" w:line="259" w:lineRule="auto"/>
        <w:rPr>
          <w:rFonts w:ascii="Arial" w:eastAsia="Times New Roman" w:hAnsi="Arial" w:cs="Arial"/>
          <w:sz w:val="24"/>
          <w:szCs w:val="24"/>
          <w:lang w:eastAsia="es-CO"/>
        </w:rPr>
      </w:pPr>
    </w:p>
    <w:p w14:paraId="5BFBA89D" w14:textId="77777777" w:rsidR="000F6C44" w:rsidRPr="006930D1" w:rsidRDefault="000F6C44" w:rsidP="009D0606">
      <w:pPr>
        <w:pStyle w:val="Ttulo3"/>
        <w:rPr>
          <w:rFonts w:cs="Arial"/>
          <w:szCs w:val="24"/>
        </w:rPr>
      </w:pPr>
      <w:bookmarkStart w:id="6" w:name="_Toc220368145"/>
      <w:r w:rsidRPr="006930D1">
        <w:rPr>
          <w:rFonts w:cs="Arial"/>
          <w:szCs w:val="24"/>
        </w:rPr>
        <w:t>RESPONSABLE</w:t>
      </w:r>
      <w:bookmarkEnd w:id="6"/>
    </w:p>
    <w:p w14:paraId="60807BFB" w14:textId="77777777" w:rsidR="000F6C44" w:rsidRPr="006930D1" w:rsidRDefault="000F6C44" w:rsidP="000F6C44">
      <w:pPr>
        <w:jc w:val="both"/>
        <w:rPr>
          <w:rFonts w:cs="Arial"/>
          <w:b/>
        </w:rPr>
      </w:pPr>
    </w:p>
    <w:p w14:paraId="3C212A12" w14:textId="77777777" w:rsidR="000F6C44" w:rsidRPr="006930D1" w:rsidRDefault="000F6C44" w:rsidP="000F6C44">
      <w:pPr>
        <w:jc w:val="both"/>
        <w:rPr>
          <w:rFonts w:cs="Arial"/>
        </w:rPr>
      </w:pPr>
      <w:r w:rsidRPr="006930D1">
        <w:rPr>
          <w:rFonts w:cs="Arial"/>
        </w:rPr>
        <w:t>El Sistema de Gestión de la Seguridad y Salud en el Trabajo (SG-SST) de la Administración Municipal de Armenia se desarrolla como un proceso lógico y estructurado por etapas, basado en la mejora continua, que incluye la definición de la política, la organización, la planificación, la aplicación, la evaluación, la auditoría y la implementación de acciones de mejora, con el propósito de anticipar, reconocer, evaluar y controlar los riesgos que puedan afectar la seguridad y la salud en el trabajo.</w:t>
      </w:r>
    </w:p>
    <w:p w14:paraId="5F57BEDE" w14:textId="77777777" w:rsidR="000C1C1B" w:rsidRPr="006930D1" w:rsidRDefault="000C1C1B" w:rsidP="000F6C44">
      <w:pPr>
        <w:jc w:val="both"/>
        <w:rPr>
          <w:rFonts w:cs="Arial"/>
        </w:rPr>
      </w:pPr>
    </w:p>
    <w:p w14:paraId="44422BAE" w14:textId="77777777" w:rsidR="000F6C44" w:rsidRPr="006930D1" w:rsidRDefault="000F6C44" w:rsidP="000F6C44">
      <w:pPr>
        <w:jc w:val="both"/>
        <w:rPr>
          <w:rFonts w:cs="Arial"/>
        </w:rPr>
      </w:pPr>
      <w:r w:rsidRPr="006930D1">
        <w:rPr>
          <w:rFonts w:cs="Arial"/>
        </w:rPr>
        <w:t>El responsable de la implementación, mantenimiento y mejora del SG-SST es el Representante Legal de la Administración Municipal o su delegado, quien garantiza la asignación de los recursos necesarios y la integración del sistema a los procesos institucionales.</w:t>
      </w:r>
    </w:p>
    <w:p w14:paraId="399294AB" w14:textId="77777777" w:rsidR="000C1C1B" w:rsidRPr="006930D1" w:rsidRDefault="000C1C1B" w:rsidP="000F6C44">
      <w:pPr>
        <w:jc w:val="both"/>
        <w:rPr>
          <w:rFonts w:cs="Arial"/>
        </w:rPr>
      </w:pPr>
    </w:p>
    <w:p w14:paraId="475E3186" w14:textId="77777777" w:rsidR="000F6C44" w:rsidRPr="006930D1" w:rsidRDefault="000F6C44" w:rsidP="000F6C44">
      <w:pPr>
        <w:jc w:val="both"/>
        <w:rPr>
          <w:rFonts w:cs="Arial"/>
        </w:rPr>
      </w:pPr>
      <w:r w:rsidRPr="006930D1">
        <w:rPr>
          <w:rFonts w:cs="Arial"/>
        </w:rPr>
        <w:t>La ejecución técnica y operativa del SG-SST estará a cargo del equipo de Seguridad y Salud en el Trabajo del Departamento Administrativo de Fortalecimiento Institucional, quien coordina la planeación, ejecución, seguimiento y evaluación de las actividades definidas en el Plan Anual de Trabajo del SG-SST para la vigencia 2026.</w:t>
      </w:r>
    </w:p>
    <w:p w14:paraId="039EAD83" w14:textId="77777777" w:rsidR="000C1C1B" w:rsidRPr="006930D1" w:rsidRDefault="000C1C1B" w:rsidP="000F6C44">
      <w:pPr>
        <w:jc w:val="both"/>
        <w:rPr>
          <w:rFonts w:cs="Arial"/>
        </w:rPr>
      </w:pPr>
    </w:p>
    <w:p w14:paraId="7973272B" w14:textId="77777777" w:rsidR="000F6C44" w:rsidRPr="006930D1" w:rsidRDefault="000F6C44" w:rsidP="000F6C44">
      <w:pPr>
        <w:jc w:val="both"/>
        <w:rPr>
          <w:rFonts w:cs="Arial"/>
        </w:rPr>
      </w:pPr>
      <w:r w:rsidRPr="006930D1">
        <w:rPr>
          <w:rFonts w:cs="Arial"/>
        </w:rPr>
        <w:t xml:space="preserve">Así mismo, en el desarrollo del SG-SST participan activamente el </w:t>
      </w:r>
      <w:r w:rsidRPr="006930D1">
        <w:rPr>
          <w:rFonts w:cs="Arial"/>
          <w:b/>
          <w:bCs/>
        </w:rPr>
        <w:t>Comité Paritario de Seguridad y Salud en el Trabajo (COPASST)</w:t>
      </w:r>
      <w:r w:rsidRPr="006930D1">
        <w:rPr>
          <w:rFonts w:cs="Arial"/>
        </w:rPr>
        <w:t xml:space="preserve">, el </w:t>
      </w:r>
      <w:r w:rsidRPr="006930D1">
        <w:rPr>
          <w:rFonts w:cs="Arial"/>
          <w:b/>
          <w:bCs/>
        </w:rPr>
        <w:t>Comité de Convivencia Laboral</w:t>
      </w:r>
      <w:r w:rsidRPr="006930D1">
        <w:rPr>
          <w:rFonts w:cs="Arial"/>
        </w:rPr>
        <w:t>, los líderes de proceso, los funcionarios y contratistas, quienes contribuyen al cumplimiento de las responsabilidades asignadas, la identificación de peligros, el reporte de incidentes y accidentes de trabajo y la implementación de las medidas de control definidas.</w:t>
      </w:r>
    </w:p>
    <w:p w14:paraId="51B29FBF" w14:textId="77777777" w:rsidR="000C1C1B" w:rsidRPr="006930D1" w:rsidRDefault="000C1C1B" w:rsidP="000F6C44">
      <w:pPr>
        <w:jc w:val="both"/>
        <w:rPr>
          <w:rFonts w:cs="Arial"/>
        </w:rPr>
      </w:pPr>
    </w:p>
    <w:p w14:paraId="4CA7376E" w14:textId="77777777" w:rsidR="000F6C44" w:rsidRPr="006930D1" w:rsidRDefault="000F6C44" w:rsidP="000F6C44">
      <w:pPr>
        <w:jc w:val="both"/>
        <w:rPr>
          <w:rFonts w:cs="Arial"/>
        </w:rPr>
      </w:pPr>
      <w:r w:rsidRPr="006930D1">
        <w:rPr>
          <w:rFonts w:cs="Arial"/>
        </w:rPr>
        <w:t xml:space="preserve">En el </w:t>
      </w:r>
      <w:r w:rsidRPr="006930D1">
        <w:rPr>
          <w:rFonts w:cs="Arial"/>
          <w:b/>
          <w:bCs/>
        </w:rPr>
        <w:t>Plan de Trabajo del Sistema de Gestión de Seguridad y Salud en el Trabajo (SG-SST)</w:t>
      </w:r>
      <w:r w:rsidRPr="006930D1">
        <w:rPr>
          <w:rFonts w:cs="Arial"/>
        </w:rPr>
        <w:t>, anexo al presente documento, se encuentran detalladas las actividades a desarrollar durante la vigencia 2026, así como los responsables, cronogramas, indicadores y evidencias de cumplimiento, garantizando la trazabilidad y el seguimiento efectivo del sistema.</w:t>
      </w:r>
    </w:p>
    <w:p w14:paraId="46065705" w14:textId="77777777" w:rsidR="000F6C44" w:rsidRPr="006930D1" w:rsidRDefault="000F6C44" w:rsidP="000F6C44">
      <w:pPr>
        <w:rPr>
          <w:rFonts w:cs="Arial"/>
        </w:rPr>
      </w:pPr>
    </w:p>
    <w:p w14:paraId="7C452F68" w14:textId="77777777" w:rsidR="000F6C44" w:rsidRPr="006930D1" w:rsidRDefault="000F6C44" w:rsidP="009D0606">
      <w:pPr>
        <w:pStyle w:val="Ttulo3"/>
        <w:rPr>
          <w:rFonts w:cs="Arial"/>
          <w:szCs w:val="24"/>
        </w:rPr>
      </w:pPr>
      <w:bookmarkStart w:id="7" w:name="_Toc220368146"/>
      <w:r w:rsidRPr="006930D1">
        <w:rPr>
          <w:rFonts w:cs="Arial"/>
          <w:szCs w:val="24"/>
        </w:rPr>
        <w:t>MARCO CONCEPTUAL</w:t>
      </w:r>
      <w:bookmarkEnd w:id="7"/>
    </w:p>
    <w:p w14:paraId="0538ABC3" w14:textId="77777777" w:rsidR="000C1C1B" w:rsidRPr="006930D1" w:rsidRDefault="000C1C1B" w:rsidP="000F6C44">
      <w:pPr>
        <w:jc w:val="both"/>
        <w:rPr>
          <w:rFonts w:cs="Arial"/>
          <w:b/>
        </w:rPr>
      </w:pPr>
    </w:p>
    <w:p w14:paraId="6A21F86E" w14:textId="77777777" w:rsidR="000F6C44" w:rsidRPr="006930D1" w:rsidRDefault="000F6C44" w:rsidP="000F6C44">
      <w:pPr>
        <w:jc w:val="both"/>
        <w:rPr>
          <w:rFonts w:cs="Arial"/>
        </w:rPr>
      </w:pPr>
      <w:r w:rsidRPr="006930D1">
        <w:rPr>
          <w:rFonts w:cs="Arial"/>
        </w:rPr>
        <w:t xml:space="preserve">La Seguridad y Salud en el Trabajo constituye un componente fundamental de la gestión institucional, orientado a la protección integral de los trabajadores frente a los riesgos derivados de las condiciones laborales, así como a la promoción del bienestar físico, mental y social. En este sentido, el Sistema de Gestión de la Seguridad y Salud en el Trabajo (SG-SST) se concibe como un proceso sistemático, preventivo y continuo, que permite anticipar, reconocer, evaluar </w:t>
      </w:r>
      <w:r w:rsidRPr="006930D1">
        <w:rPr>
          <w:rFonts w:cs="Arial"/>
        </w:rPr>
        <w:lastRenderedPageBreak/>
        <w:t>y controlar los peligros presentes en los centros de trabajo de la Administración Municipal de Armenia.</w:t>
      </w:r>
    </w:p>
    <w:p w14:paraId="344494B0" w14:textId="77777777" w:rsidR="000F6C44" w:rsidRPr="006930D1" w:rsidRDefault="000F6C44" w:rsidP="000F6C44">
      <w:pPr>
        <w:jc w:val="both"/>
        <w:rPr>
          <w:rFonts w:cs="Arial"/>
        </w:rPr>
      </w:pPr>
    </w:p>
    <w:p w14:paraId="46090006" w14:textId="77777777" w:rsidR="000F6C44" w:rsidRPr="006930D1" w:rsidRDefault="000F6C44" w:rsidP="000F6C44">
      <w:pPr>
        <w:jc w:val="both"/>
        <w:rPr>
          <w:rFonts w:cs="Arial"/>
        </w:rPr>
      </w:pPr>
      <w:r w:rsidRPr="006930D1">
        <w:rPr>
          <w:rFonts w:cs="Arial"/>
        </w:rPr>
        <w:t>El marco conceptual del SG-SST se fundamenta en principios técnicos, normativos y preventivos que orientan la planeación, ejecución, seguimiento y mejora de las acciones definidas en el Plan Anual de Seguridad y Salud en el Trabajo para la vigencia 2026, garantizando su coherencia con la normatividad vigente y con los objetivos institucionales.</w:t>
      </w:r>
    </w:p>
    <w:p w14:paraId="6252C915" w14:textId="77777777" w:rsidR="000F6C44" w:rsidRPr="006930D1" w:rsidRDefault="000F6C44" w:rsidP="000F6C44">
      <w:pPr>
        <w:jc w:val="both"/>
        <w:rPr>
          <w:rFonts w:cs="Arial"/>
        </w:rPr>
      </w:pPr>
    </w:p>
    <w:p w14:paraId="1CF921D8" w14:textId="77777777" w:rsidR="000F6C44" w:rsidRPr="006930D1" w:rsidRDefault="000F6C44" w:rsidP="000F6C44">
      <w:pPr>
        <w:pStyle w:val="Prrafodelista"/>
        <w:numPr>
          <w:ilvl w:val="0"/>
          <w:numId w:val="14"/>
        </w:numPr>
        <w:spacing w:after="160" w:line="259" w:lineRule="auto"/>
        <w:jc w:val="left"/>
        <w:rPr>
          <w:rFonts w:ascii="Arial" w:hAnsi="Arial" w:cs="Arial"/>
          <w:b/>
          <w:sz w:val="24"/>
          <w:szCs w:val="24"/>
        </w:rPr>
      </w:pPr>
      <w:r w:rsidRPr="006930D1">
        <w:rPr>
          <w:rFonts w:ascii="Arial" w:hAnsi="Arial" w:cs="Arial"/>
          <w:b/>
          <w:sz w:val="24"/>
          <w:szCs w:val="24"/>
        </w:rPr>
        <w:t>Seguridad y Salud en el Trabajo (SST)</w:t>
      </w:r>
    </w:p>
    <w:p w14:paraId="1C940E93" w14:textId="77777777" w:rsidR="000F6C44" w:rsidRPr="006930D1" w:rsidRDefault="000F6C44" w:rsidP="000F6C44">
      <w:pPr>
        <w:jc w:val="both"/>
        <w:rPr>
          <w:rFonts w:cs="Arial"/>
        </w:rPr>
      </w:pPr>
      <w:r w:rsidRPr="006930D1">
        <w:rPr>
          <w:rFonts w:cs="Arial"/>
        </w:rPr>
        <w:t>La Seguridad y Salud en el Trabajo es la disciplina que tiene como finalidad la prevención de las lesiones y enfermedades causadas por las condiciones de trabajo, así como la protección y promoción de la salud de los trabajadores. Su enfoque no se limita únicamente a la prevención del daño, sino que promueve ambientes de trabajo seguros, saludables y dignos, fortaleciendo la productividad, la calidad del servicio y la sostenibilidad institucional.</w:t>
      </w:r>
    </w:p>
    <w:p w14:paraId="76FFCC3B" w14:textId="77777777" w:rsidR="000F6C44" w:rsidRPr="006930D1" w:rsidRDefault="000F6C44" w:rsidP="000F6C44">
      <w:pPr>
        <w:jc w:val="both"/>
        <w:rPr>
          <w:rFonts w:cs="Arial"/>
        </w:rPr>
      </w:pPr>
    </w:p>
    <w:p w14:paraId="4E4AE16E" w14:textId="77777777" w:rsidR="000F6C44" w:rsidRPr="006930D1" w:rsidRDefault="000F6C44" w:rsidP="000F6C44">
      <w:pPr>
        <w:pStyle w:val="Prrafodelista"/>
        <w:numPr>
          <w:ilvl w:val="0"/>
          <w:numId w:val="14"/>
        </w:numPr>
        <w:spacing w:after="160" w:line="259" w:lineRule="auto"/>
        <w:jc w:val="left"/>
        <w:rPr>
          <w:rFonts w:ascii="Arial" w:hAnsi="Arial" w:cs="Arial"/>
          <w:b/>
          <w:sz w:val="24"/>
          <w:szCs w:val="24"/>
        </w:rPr>
      </w:pPr>
      <w:r w:rsidRPr="006930D1">
        <w:rPr>
          <w:rFonts w:ascii="Arial" w:hAnsi="Arial" w:cs="Arial"/>
          <w:b/>
          <w:sz w:val="24"/>
          <w:szCs w:val="24"/>
        </w:rPr>
        <w:t>Sistema de Gestión de la Seguridad y Salud en el Trabajo (SG-SST)</w:t>
      </w:r>
    </w:p>
    <w:p w14:paraId="29B70551" w14:textId="77777777" w:rsidR="000F6C44" w:rsidRPr="006930D1" w:rsidRDefault="000F6C44" w:rsidP="000F6C44">
      <w:pPr>
        <w:jc w:val="both"/>
        <w:rPr>
          <w:rFonts w:cs="Arial"/>
        </w:rPr>
      </w:pPr>
      <w:r w:rsidRPr="006930D1">
        <w:rPr>
          <w:rFonts w:cs="Arial"/>
        </w:rPr>
        <w:t xml:space="preserve">El Sistema de Gestión de la Seguridad y Salud en el Trabajo es el conjunto de elementos interrelacionados que permiten establecer una política, objetivos, responsabilidades, procesos y recursos orientados a la prevención de los riesgos laborales. El SG-SST se desarrolla bajo el enfoque del ciclo </w:t>
      </w:r>
      <w:r w:rsidRPr="006930D1">
        <w:rPr>
          <w:rStyle w:val="Textoennegrita"/>
          <w:rFonts w:cs="Arial"/>
        </w:rPr>
        <w:t>PHVA (Planear, Hacer, Verificar y Actuar)</w:t>
      </w:r>
      <w:r w:rsidRPr="006930D1">
        <w:rPr>
          <w:rFonts w:cs="Arial"/>
        </w:rPr>
        <w:t>, el cual garantiza la mejora continua del sistema.</w:t>
      </w:r>
    </w:p>
    <w:p w14:paraId="6D53AB6C" w14:textId="77777777" w:rsidR="000F6C44" w:rsidRPr="006930D1" w:rsidRDefault="000F6C44" w:rsidP="000F6C44">
      <w:pPr>
        <w:jc w:val="both"/>
        <w:rPr>
          <w:rFonts w:cs="Arial"/>
        </w:rPr>
      </w:pPr>
    </w:p>
    <w:p w14:paraId="3DE43483" w14:textId="77777777" w:rsidR="000F6C44" w:rsidRPr="006930D1" w:rsidRDefault="000F6C44" w:rsidP="000F6C44">
      <w:pPr>
        <w:jc w:val="both"/>
        <w:rPr>
          <w:rFonts w:cs="Arial"/>
        </w:rPr>
      </w:pPr>
      <w:r w:rsidRPr="006930D1">
        <w:rPr>
          <w:rFonts w:cs="Arial"/>
        </w:rPr>
        <w:t>A través del SG-SST, la Administración Municipal de Armenia planifica las actividades preventivas, ejecuta los programas definidos, evalúa su eficacia mediante indicadores y auditorías, y define acciones correctivas, preventivas y de mejora que permiten fortalecer el sistema y reducir los riesgos laborales.</w:t>
      </w:r>
    </w:p>
    <w:p w14:paraId="76BF5D2E" w14:textId="77777777" w:rsidR="000F6C44" w:rsidRPr="006930D1" w:rsidRDefault="000F6C44" w:rsidP="000F6C44">
      <w:pPr>
        <w:jc w:val="both"/>
        <w:rPr>
          <w:rFonts w:cs="Arial"/>
        </w:rPr>
      </w:pPr>
    </w:p>
    <w:p w14:paraId="26669484" w14:textId="77777777" w:rsidR="000F6C44" w:rsidRPr="006930D1" w:rsidRDefault="000F6C44" w:rsidP="000F6C44">
      <w:pPr>
        <w:pStyle w:val="Prrafodelista"/>
        <w:numPr>
          <w:ilvl w:val="0"/>
          <w:numId w:val="14"/>
        </w:numPr>
        <w:spacing w:after="160" w:line="259" w:lineRule="auto"/>
        <w:jc w:val="left"/>
        <w:rPr>
          <w:rFonts w:ascii="Arial" w:hAnsi="Arial" w:cs="Arial"/>
          <w:b/>
          <w:sz w:val="24"/>
          <w:szCs w:val="24"/>
        </w:rPr>
      </w:pPr>
      <w:r w:rsidRPr="006930D1">
        <w:rPr>
          <w:rFonts w:ascii="Arial" w:hAnsi="Arial" w:cs="Arial"/>
          <w:b/>
          <w:sz w:val="24"/>
          <w:szCs w:val="24"/>
        </w:rPr>
        <w:t>Accidente de Trabajo</w:t>
      </w:r>
    </w:p>
    <w:p w14:paraId="485C4785" w14:textId="77777777" w:rsidR="000F6C44" w:rsidRPr="006930D1" w:rsidRDefault="000F6C44" w:rsidP="000F6C44">
      <w:pPr>
        <w:jc w:val="both"/>
        <w:rPr>
          <w:rFonts w:cs="Arial"/>
        </w:rPr>
      </w:pPr>
      <w:r w:rsidRPr="006930D1">
        <w:rPr>
          <w:rFonts w:cs="Arial"/>
        </w:rPr>
        <w:t>Se entiende por accidente de trabajo todo suceso repentino que sobreviene por causa o con ocasión del trabajo y que produce en el trabajador una lesión orgánica, una perturbación funcional o psiquiátrica, una invalidez o la muerte. La identificación, investigación y análisis de los accidentes de trabajo constituyen una herramienta fundamental para la prevención, ya que permiten identificar las causas raíz y definir acciones de control que eviten su recurrencia.</w:t>
      </w:r>
    </w:p>
    <w:p w14:paraId="1730A2AB" w14:textId="77777777" w:rsidR="000F6C44" w:rsidRPr="006930D1" w:rsidRDefault="000F6C44" w:rsidP="000F6C44">
      <w:pPr>
        <w:jc w:val="both"/>
        <w:rPr>
          <w:rFonts w:cs="Arial"/>
        </w:rPr>
      </w:pPr>
    </w:p>
    <w:p w14:paraId="3FDD3C6F" w14:textId="77777777" w:rsidR="000F6C44" w:rsidRPr="006930D1" w:rsidRDefault="000F6C44" w:rsidP="000F6C44">
      <w:pPr>
        <w:pStyle w:val="Prrafodelista"/>
        <w:numPr>
          <w:ilvl w:val="0"/>
          <w:numId w:val="14"/>
        </w:numPr>
        <w:spacing w:after="160" w:line="259" w:lineRule="auto"/>
        <w:jc w:val="left"/>
        <w:rPr>
          <w:rFonts w:ascii="Arial" w:hAnsi="Arial" w:cs="Arial"/>
          <w:b/>
          <w:sz w:val="24"/>
          <w:szCs w:val="24"/>
        </w:rPr>
      </w:pPr>
      <w:r w:rsidRPr="006930D1">
        <w:rPr>
          <w:rFonts w:ascii="Arial" w:hAnsi="Arial" w:cs="Arial"/>
          <w:b/>
          <w:sz w:val="24"/>
          <w:szCs w:val="24"/>
        </w:rPr>
        <w:t>Enfermedad Laboral</w:t>
      </w:r>
    </w:p>
    <w:p w14:paraId="25643EA6" w14:textId="77777777" w:rsidR="000F6C44" w:rsidRPr="006930D1" w:rsidRDefault="000F6C44" w:rsidP="000F6C44">
      <w:pPr>
        <w:jc w:val="both"/>
        <w:rPr>
          <w:rFonts w:cs="Arial"/>
        </w:rPr>
      </w:pPr>
      <w:r w:rsidRPr="006930D1">
        <w:rPr>
          <w:rFonts w:cs="Arial"/>
        </w:rPr>
        <w:t>La enfermedad laboral es aquella contraída como resultado de la exposición a factores de riesgo inherentes a la actividad laboral o del medio en el que el trabajador se ha visto obligado a trabajar. La prevención de las enfermedades laborales se aborda mediante la implementación de programas de vigilancia epidemiológica, el seguimiento a las condiciones de salud de los trabajadores y la adopción de medidas de control sobre los factores de riesgo identificados.</w:t>
      </w:r>
    </w:p>
    <w:p w14:paraId="11C4355B" w14:textId="77777777" w:rsidR="000F6C44" w:rsidRPr="006930D1" w:rsidRDefault="000F6C44" w:rsidP="000F6C44">
      <w:pPr>
        <w:jc w:val="both"/>
        <w:rPr>
          <w:rFonts w:cs="Arial"/>
        </w:rPr>
      </w:pPr>
    </w:p>
    <w:p w14:paraId="2F3FAFBD" w14:textId="77777777" w:rsidR="000F6C44" w:rsidRPr="006930D1" w:rsidRDefault="000F6C44" w:rsidP="000F6C44">
      <w:pPr>
        <w:pStyle w:val="Prrafodelista"/>
        <w:numPr>
          <w:ilvl w:val="0"/>
          <w:numId w:val="14"/>
        </w:numPr>
        <w:spacing w:after="160" w:line="259" w:lineRule="auto"/>
        <w:jc w:val="left"/>
        <w:rPr>
          <w:rFonts w:ascii="Arial" w:hAnsi="Arial" w:cs="Arial"/>
          <w:b/>
          <w:sz w:val="24"/>
          <w:szCs w:val="24"/>
        </w:rPr>
      </w:pPr>
      <w:r w:rsidRPr="006930D1">
        <w:rPr>
          <w:rFonts w:ascii="Arial" w:hAnsi="Arial" w:cs="Arial"/>
          <w:b/>
          <w:sz w:val="24"/>
          <w:szCs w:val="24"/>
        </w:rPr>
        <w:t>Identificación de Peligros</w:t>
      </w:r>
    </w:p>
    <w:p w14:paraId="3945AAAB" w14:textId="77777777" w:rsidR="000F6C44" w:rsidRPr="006930D1" w:rsidRDefault="000F6C44" w:rsidP="000F6C44">
      <w:pPr>
        <w:jc w:val="both"/>
        <w:rPr>
          <w:rFonts w:cs="Arial"/>
        </w:rPr>
      </w:pPr>
      <w:r w:rsidRPr="006930D1">
        <w:rPr>
          <w:rFonts w:cs="Arial"/>
        </w:rPr>
        <w:t>La identificación de peligros es un proceso sistemático mediante el cual se reconocen las fuentes, situaciones o actos con potencial de causar daño a la salud de los trabajadores. Este proceso permite conocer los riesgos presentes en los diferentes procesos y actividades de la Entidad, constituyéndose en la base para la evaluación, valoración y control del riesgo.</w:t>
      </w:r>
    </w:p>
    <w:p w14:paraId="40B14720" w14:textId="77777777" w:rsidR="000F6C44" w:rsidRPr="006930D1" w:rsidRDefault="000F6C44" w:rsidP="000F6C44">
      <w:pPr>
        <w:jc w:val="both"/>
        <w:rPr>
          <w:rFonts w:cs="Arial"/>
        </w:rPr>
      </w:pPr>
    </w:p>
    <w:p w14:paraId="6C026AC4" w14:textId="77777777" w:rsidR="000F6C44" w:rsidRPr="006930D1" w:rsidRDefault="000F6C44" w:rsidP="000F6C44">
      <w:pPr>
        <w:pStyle w:val="Prrafodelista"/>
        <w:numPr>
          <w:ilvl w:val="0"/>
          <w:numId w:val="14"/>
        </w:numPr>
        <w:spacing w:after="160" w:line="259" w:lineRule="auto"/>
        <w:jc w:val="left"/>
        <w:rPr>
          <w:rFonts w:ascii="Arial" w:hAnsi="Arial" w:cs="Arial"/>
          <w:b/>
          <w:sz w:val="24"/>
          <w:szCs w:val="24"/>
        </w:rPr>
      </w:pPr>
      <w:r w:rsidRPr="006930D1">
        <w:rPr>
          <w:rFonts w:ascii="Arial" w:hAnsi="Arial" w:cs="Arial"/>
          <w:b/>
          <w:sz w:val="24"/>
          <w:szCs w:val="24"/>
        </w:rPr>
        <w:t>Evaluación y Valoración de Riesgos</w:t>
      </w:r>
    </w:p>
    <w:p w14:paraId="33C6E0BB" w14:textId="77777777" w:rsidR="000F6C44" w:rsidRPr="006930D1" w:rsidRDefault="000F6C44" w:rsidP="000F6C44">
      <w:pPr>
        <w:jc w:val="both"/>
        <w:rPr>
          <w:rFonts w:cs="Arial"/>
        </w:rPr>
      </w:pPr>
      <w:r w:rsidRPr="006930D1">
        <w:rPr>
          <w:rFonts w:cs="Arial"/>
        </w:rPr>
        <w:t>La evaluación y valoración de riesgos consiste en el análisis de la probabilidad de ocurrencia de un evento peligroso y la severidad de sus consecuencias, teniendo en cuenta la eficacia de los controles existentes. Este proceso permite priorizar los riesgos y definir las medidas de intervención necesarias para su control, de acuerdo con los niveles de aceptabilidad establecidos.</w:t>
      </w:r>
    </w:p>
    <w:p w14:paraId="6FA845C4" w14:textId="77777777" w:rsidR="000F6C44" w:rsidRPr="006930D1" w:rsidRDefault="000F6C44" w:rsidP="000F6C44">
      <w:pPr>
        <w:jc w:val="both"/>
        <w:rPr>
          <w:rFonts w:cs="Arial"/>
        </w:rPr>
      </w:pPr>
    </w:p>
    <w:p w14:paraId="25895642" w14:textId="77777777" w:rsidR="000F6C44" w:rsidRPr="006930D1" w:rsidRDefault="000F6C44" w:rsidP="000F6C44">
      <w:pPr>
        <w:pStyle w:val="Prrafodelista"/>
        <w:numPr>
          <w:ilvl w:val="0"/>
          <w:numId w:val="14"/>
        </w:numPr>
        <w:spacing w:after="160" w:line="259" w:lineRule="auto"/>
        <w:jc w:val="left"/>
        <w:rPr>
          <w:rFonts w:ascii="Arial" w:hAnsi="Arial" w:cs="Arial"/>
          <w:b/>
          <w:sz w:val="24"/>
          <w:szCs w:val="24"/>
        </w:rPr>
      </w:pPr>
      <w:r w:rsidRPr="006930D1">
        <w:rPr>
          <w:rFonts w:ascii="Arial" w:hAnsi="Arial" w:cs="Arial"/>
          <w:b/>
          <w:sz w:val="24"/>
          <w:szCs w:val="24"/>
        </w:rPr>
        <w:t>Controles del Riesgo</w:t>
      </w:r>
    </w:p>
    <w:p w14:paraId="20BEE4BD" w14:textId="77777777" w:rsidR="000F6C44" w:rsidRPr="006930D1" w:rsidRDefault="000F6C44" w:rsidP="000F6C44">
      <w:pPr>
        <w:jc w:val="both"/>
        <w:rPr>
          <w:rFonts w:cs="Arial"/>
        </w:rPr>
      </w:pPr>
      <w:r w:rsidRPr="006930D1">
        <w:rPr>
          <w:rFonts w:cs="Arial"/>
        </w:rPr>
        <w:t>Los controles del riesgo corresponden a las medidas implementadas para eliminar el peligro o reducir el nivel de riesgo a valores aceptables. Estos controles se aplican siguiendo la jerarquía de control, que incluye la eliminación del peligro, la sustitución, los controles de ingeniería, los controles administrativos y el uso de elementos de protección personal, priorizando siempre las medidas que actúan sobre la fuente del riesgo.</w:t>
      </w:r>
    </w:p>
    <w:p w14:paraId="5659FA6E" w14:textId="77777777" w:rsidR="000F6C44" w:rsidRPr="006930D1" w:rsidRDefault="000F6C44" w:rsidP="000F6C44">
      <w:pPr>
        <w:jc w:val="both"/>
        <w:rPr>
          <w:rFonts w:cs="Arial"/>
        </w:rPr>
      </w:pPr>
    </w:p>
    <w:p w14:paraId="54E92AA5" w14:textId="77777777" w:rsidR="000F6C44" w:rsidRPr="006930D1" w:rsidRDefault="000F6C44" w:rsidP="000F6C44">
      <w:pPr>
        <w:pStyle w:val="Prrafodelista"/>
        <w:numPr>
          <w:ilvl w:val="0"/>
          <w:numId w:val="14"/>
        </w:numPr>
        <w:spacing w:after="160" w:line="259" w:lineRule="auto"/>
        <w:jc w:val="left"/>
        <w:rPr>
          <w:rFonts w:ascii="Arial" w:hAnsi="Arial" w:cs="Arial"/>
          <w:b/>
          <w:sz w:val="24"/>
          <w:szCs w:val="24"/>
        </w:rPr>
      </w:pPr>
      <w:r w:rsidRPr="006930D1">
        <w:rPr>
          <w:rFonts w:ascii="Arial" w:hAnsi="Arial" w:cs="Arial"/>
          <w:b/>
          <w:sz w:val="24"/>
          <w:szCs w:val="24"/>
        </w:rPr>
        <w:t>Vigilancia Epidemiológica de la Salud en el Trabajo</w:t>
      </w:r>
    </w:p>
    <w:p w14:paraId="1015F03C" w14:textId="77777777" w:rsidR="000F6C44" w:rsidRPr="006930D1" w:rsidRDefault="000F6C44" w:rsidP="000F6C44">
      <w:pPr>
        <w:jc w:val="both"/>
        <w:rPr>
          <w:rFonts w:cs="Arial"/>
        </w:rPr>
      </w:pPr>
      <w:r w:rsidRPr="006930D1">
        <w:rPr>
          <w:rFonts w:cs="Arial"/>
        </w:rPr>
        <w:t>La vigilancia epidemiológica en Seguridad y Salud en el Trabajo es un proceso continuo y sistemático de recopilación, análisis e interpretación de información relacionada con la salud de los trabajadores. Su finalidad es detectar tempranamente eventos adversos, identificar tendencias y definir acciones preventivas que permitan controlar los factores de riesgo y prevenir la aparición de enfermedades laborales.</w:t>
      </w:r>
    </w:p>
    <w:p w14:paraId="34ADDDAD" w14:textId="77777777" w:rsidR="000C1C1B" w:rsidRPr="006930D1" w:rsidRDefault="000C1C1B" w:rsidP="000F6C44">
      <w:pPr>
        <w:jc w:val="both"/>
        <w:rPr>
          <w:rFonts w:cs="Arial"/>
        </w:rPr>
      </w:pPr>
    </w:p>
    <w:p w14:paraId="0D1E1250" w14:textId="77777777" w:rsidR="000F6C44" w:rsidRPr="006930D1" w:rsidRDefault="000F6C44" w:rsidP="000F6C44">
      <w:pPr>
        <w:jc w:val="both"/>
        <w:rPr>
          <w:rFonts w:cs="Arial"/>
        </w:rPr>
      </w:pPr>
    </w:p>
    <w:p w14:paraId="55B14015" w14:textId="77777777" w:rsidR="000F6C44" w:rsidRPr="006930D1" w:rsidRDefault="000F6C44" w:rsidP="000F6C44">
      <w:pPr>
        <w:pStyle w:val="Prrafodelista"/>
        <w:numPr>
          <w:ilvl w:val="0"/>
          <w:numId w:val="14"/>
        </w:numPr>
        <w:spacing w:after="160" w:line="259" w:lineRule="auto"/>
        <w:rPr>
          <w:rFonts w:ascii="Arial" w:hAnsi="Arial" w:cs="Arial"/>
          <w:b/>
          <w:sz w:val="24"/>
          <w:szCs w:val="24"/>
        </w:rPr>
      </w:pPr>
      <w:r w:rsidRPr="006930D1">
        <w:rPr>
          <w:rFonts w:ascii="Arial" w:hAnsi="Arial" w:cs="Arial"/>
          <w:b/>
          <w:sz w:val="24"/>
          <w:szCs w:val="24"/>
        </w:rPr>
        <w:t>Acciones Preventivas, Correctivas y de Mejora</w:t>
      </w:r>
    </w:p>
    <w:p w14:paraId="0BF4483D" w14:textId="77777777" w:rsidR="000F6C44" w:rsidRPr="006930D1" w:rsidRDefault="000F6C44" w:rsidP="000F6C44">
      <w:pPr>
        <w:jc w:val="both"/>
        <w:rPr>
          <w:rFonts w:cs="Arial"/>
        </w:rPr>
      </w:pPr>
      <w:r w:rsidRPr="006930D1">
        <w:rPr>
          <w:rFonts w:cs="Arial"/>
        </w:rPr>
        <w:t>Las acciones preventivas, correctivas y de mejora constituyen un elemento esencial del SG-SST. Las acciones preventivas buscan eliminar las causas de posibles no conformidades, las acciones correctivas se orientan a eliminar las causas de no conformidades detectadas, y las acciones de mejora permiten optimizar el desempeño del sistema, fortaleciendo su eficacia y sostenibilidad.</w:t>
      </w:r>
    </w:p>
    <w:p w14:paraId="35840123" w14:textId="77777777" w:rsidR="000F6C44" w:rsidRPr="006930D1" w:rsidRDefault="000F6C44" w:rsidP="000F6C44">
      <w:pPr>
        <w:jc w:val="both"/>
        <w:rPr>
          <w:rFonts w:cs="Arial"/>
        </w:rPr>
      </w:pPr>
    </w:p>
    <w:p w14:paraId="242C5F4D" w14:textId="77777777" w:rsidR="000F6C44" w:rsidRPr="006930D1" w:rsidRDefault="000C1C1B" w:rsidP="000C1C1B">
      <w:pPr>
        <w:pStyle w:val="Prrafodelista"/>
        <w:numPr>
          <w:ilvl w:val="0"/>
          <w:numId w:val="14"/>
        </w:numPr>
        <w:rPr>
          <w:rFonts w:ascii="Arial" w:hAnsi="Arial" w:cs="Arial"/>
          <w:b/>
          <w:sz w:val="24"/>
          <w:szCs w:val="24"/>
        </w:rPr>
      </w:pPr>
      <w:r w:rsidRPr="006930D1">
        <w:rPr>
          <w:rFonts w:ascii="Arial" w:hAnsi="Arial" w:cs="Arial"/>
          <w:b/>
          <w:sz w:val="24"/>
          <w:szCs w:val="24"/>
        </w:rPr>
        <w:t>Asignación de recursos para el sistema de gestión en seguridad y salud en el trabajo.</w:t>
      </w:r>
    </w:p>
    <w:p w14:paraId="5550E0AB" w14:textId="77777777" w:rsidR="000F6C44" w:rsidRPr="006930D1" w:rsidRDefault="000F6C44" w:rsidP="000F6C44">
      <w:pPr>
        <w:jc w:val="both"/>
        <w:rPr>
          <w:rFonts w:cs="Arial"/>
        </w:rPr>
      </w:pPr>
      <w:r w:rsidRPr="006930D1">
        <w:rPr>
          <w:rFonts w:cs="Arial"/>
        </w:rPr>
        <w:lastRenderedPageBreak/>
        <w:t xml:space="preserve">Constatar la existencia de evidencias físicas que demuestren la asignación del talento humano, los recursos financieros, técnicos, tecnológicos para la implementación, mantenimiento y continuidad del sistema de gestión de SST, evidenciando la existencia de estos recursos en el plan de trabajo anual de acuerdo a la normatividad vigente. </w:t>
      </w:r>
    </w:p>
    <w:p w14:paraId="1AC7D5D7" w14:textId="77777777" w:rsidR="000C1C1B" w:rsidRPr="006930D1" w:rsidRDefault="000C1C1B" w:rsidP="000F6C44">
      <w:pPr>
        <w:jc w:val="both"/>
        <w:rPr>
          <w:rFonts w:cs="Arial"/>
        </w:rPr>
      </w:pPr>
    </w:p>
    <w:p w14:paraId="7F636B26" w14:textId="77777777" w:rsidR="000C1C1B" w:rsidRPr="006930D1" w:rsidRDefault="000C1C1B" w:rsidP="000F6C44">
      <w:pPr>
        <w:pStyle w:val="Prrafodelista"/>
        <w:numPr>
          <w:ilvl w:val="0"/>
          <w:numId w:val="14"/>
        </w:numPr>
        <w:rPr>
          <w:rFonts w:ascii="Arial" w:hAnsi="Arial" w:cs="Arial"/>
          <w:b/>
          <w:sz w:val="24"/>
          <w:szCs w:val="24"/>
        </w:rPr>
      </w:pPr>
      <w:r w:rsidRPr="006930D1">
        <w:rPr>
          <w:rFonts w:ascii="Arial" w:hAnsi="Arial" w:cs="Arial"/>
          <w:b/>
          <w:sz w:val="24"/>
          <w:szCs w:val="24"/>
        </w:rPr>
        <w:t xml:space="preserve">Inducción y reinducción en seguridad y salud en el trabajo </w:t>
      </w:r>
    </w:p>
    <w:p w14:paraId="24128D0A" w14:textId="77777777" w:rsidR="000F6C44" w:rsidRPr="006930D1" w:rsidRDefault="000F6C44" w:rsidP="000F6C44">
      <w:pPr>
        <w:jc w:val="both"/>
        <w:rPr>
          <w:rFonts w:cs="Arial"/>
        </w:rPr>
      </w:pPr>
      <w:r w:rsidRPr="006930D1">
        <w:rPr>
          <w:rFonts w:cs="Arial"/>
        </w:rPr>
        <w:t xml:space="preserve">Realizar actividades de inducción y reinducción, deben estar incluidas en el programa de capacitación anual, dirigidas a todos los trabajadores, independientemente de su forma de vinculación y contratación, de manera previa al inicio de sus labores, para la prevención de accidentes de trabajo y enfermedades laborales. </w:t>
      </w:r>
    </w:p>
    <w:p w14:paraId="76B97266" w14:textId="77777777" w:rsidR="000C1C1B" w:rsidRPr="006930D1" w:rsidRDefault="000C1C1B" w:rsidP="000F6C44">
      <w:pPr>
        <w:jc w:val="both"/>
        <w:rPr>
          <w:rFonts w:cs="Arial"/>
        </w:rPr>
      </w:pPr>
    </w:p>
    <w:p w14:paraId="4366B4FB" w14:textId="77777777" w:rsidR="000F6C44" w:rsidRPr="006930D1" w:rsidRDefault="000C1C1B" w:rsidP="000C1C1B">
      <w:pPr>
        <w:pStyle w:val="Prrafodelista"/>
        <w:numPr>
          <w:ilvl w:val="0"/>
          <w:numId w:val="14"/>
        </w:numPr>
        <w:rPr>
          <w:rFonts w:ascii="Arial" w:hAnsi="Arial" w:cs="Arial"/>
          <w:b/>
          <w:sz w:val="24"/>
          <w:szCs w:val="24"/>
        </w:rPr>
      </w:pPr>
      <w:r w:rsidRPr="006930D1">
        <w:rPr>
          <w:rFonts w:ascii="Arial" w:hAnsi="Arial" w:cs="Arial"/>
          <w:b/>
          <w:sz w:val="24"/>
          <w:szCs w:val="24"/>
        </w:rPr>
        <w:t>Rendición de cuentas</w:t>
      </w:r>
    </w:p>
    <w:p w14:paraId="5639D9D3" w14:textId="77777777" w:rsidR="000F6C44" w:rsidRPr="006930D1" w:rsidRDefault="000F6C44" w:rsidP="000F6C44">
      <w:pPr>
        <w:jc w:val="both"/>
        <w:rPr>
          <w:rFonts w:cs="Arial"/>
        </w:rPr>
      </w:pPr>
      <w:r w:rsidRPr="006930D1">
        <w:rPr>
          <w:rFonts w:cs="Arial"/>
        </w:rPr>
        <w:t xml:space="preserve">Realizar anualmente la rendición de cuentas del desarrollo del SG-SST que incluya a todos los niveles de la empresa y centros de trabajo. </w:t>
      </w:r>
    </w:p>
    <w:p w14:paraId="046648ED" w14:textId="77777777" w:rsidR="000F6C44" w:rsidRPr="006930D1" w:rsidRDefault="000F6C44" w:rsidP="000F6C44">
      <w:pPr>
        <w:jc w:val="both"/>
        <w:rPr>
          <w:rFonts w:cs="Arial"/>
        </w:rPr>
      </w:pPr>
    </w:p>
    <w:p w14:paraId="63085455" w14:textId="77777777" w:rsidR="000F6C44" w:rsidRPr="006930D1" w:rsidRDefault="000F6C44" w:rsidP="000F6C44">
      <w:pPr>
        <w:rPr>
          <w:rFonts w:cs="Arial"/>
        </w:rPr>
      </w:pPr>
    </w:p>
    <w:p w14:paraId="51982F79" w14:textId="77777777" w:rsidR="000F6C44" w:rsidRPr="006930D1" w:rsidRDefault="000F6C44" w:rsidP="000F6C44">
      <w:pPr>
        <w:rPr>
          <w:rFonts w:cs="Arial"/>
          <w:b/>
        </w:rPr>
      </w:pPr>
      <w:r w:rsidRPr="006930D1">
        <w:rPr>
          <w:rFonts w:cs="Arial"/>
          <w:b/>
        </w:rPr>
        <w:t>ABREVIATURAS</w:t>
      </w:r>
    </w:p>
    <w:p w14:paraId="566212B1" w14:textId="77777777" w:rsidR="000F6C44" w:rsidRPr="006930D1" w:rsidRDefault="000F6C44" w:rsidP="000F6C44">
      <w:pPr>
        <w:rPr>
          <w:rFonts w:cs="Arial"/>
        </w:rPr>
      </w:pPr>
      <w:r w:rsidRPr="006930D1">
        <w:rPr>
          <w:rStyle w:val="Textoennegrita"/>
          <w:rFonts w:cs="Arial"/>
        </w:rPr>
        <w:t>SG-SST</w:t>
      </w:r>
      <w:r w:rsidRPr="006930D1">
        <w:rPr>
          <w:rFonts w:cs="Arial"/>
        </w:rPr>
        <w:t>: Sistema de Gestión de la Seguridad y Salud en el Trabajo</w:t>
      </w:r>
    </w:p>
    <w:p w14:paraId="0B73F30F" w14:textId="77777777" w:rsidR="000F6C44" w:rsidRPr="006930D1" w:rsidRDefault="000F6C44" w:rsidP="000F6C44">
      <w:pPr>
        <w:rPr>
          <w:rFonts w:cs="Arial"/>
        </w:rPr>
      </w:pPr>
      <w:r w:rsidRPr="006930D1">
        <w:rPr>
          <w:rStyle w:val="Textoennegrita"/>
          <w:rFonts w:cs="Arial"/>
        </w:rPr>
        <w:t>SST</w:t>
      </w:r>
      <w:r w:rsidRPr="006930D1">
        <w:rPr>
          <w:rFonts w:cs="Arial"/>
        </w:rPr>
        <w:t>: Seguridad y Salud en el Trabajo</w:t>
      </w:r>
    </w:p>
    <w:p w14:paraId="7A40495B" w14:textId="77777777" w:rsidR="000F6C44" w:rsidRPr="006930D1" w:rsidRDefault="000F6C44" w:rsidP="000F6C44">
      <w:pPr>
        <w:rPr>
          <w:rFonts w:cs="Arial"/>
        </w:rPr>
      </w:pPr>
      <w:r w:rsidRPr="006930D1">
        <w:rPr>
          <w:rStyle w:val="Textoennegrita"/>
          <w:rFonts w:cs="Arial"/>
        </w:rPr>
        <w:t>COPASST</w:t>
      </w:r>
      <w:r w:rsidRPr="006930D1">
        <w:rPr>
          <w:rFonts w:cs="Arial"/>
        </w:rPr>
        <w:t>: Comité Paritario de Seguridad y Salud en el Trabajo</w:t>
      </w:r>
    </w:p>
    <w:p w14:paraId="0F4B3022" w14:textId="77777777" w:rsidR="000F6C44" w:rsidRPr="006930D1" w:rsidRDefault="000F6C44" w:rsidP="000F6C44">
      <w:pPr>
        <w:rPr>
          <w:rFonts w:cs="Arial"/>
        </w:rPr>
      </w:pPr>
      <w:r w:rsidRPr="006930D1">
        <w:rPr>
          <w:rStyle w:val="Textoennegrita"/>
          <w:rFonts w:cs="Arial"/>
        </w:rPr>
        <w:t>PHVA</w:t>
      </w:r>
      <w:r w:rsidRPr="006930D1">
        <w:rPr>
          <w:rFonts w:cs="Arial"/>
        </w:rPr>
        <w:t>: Planear, Hacer, Verificar y Actuar</w:t>
      </w:r>
    </w:p>
    <w:p w14:paraId="5282366F" w14:textId="77777777" w:rsidR="000F6C44" w:rsidRPr="006930D1" w:rsidRDefault="000F6C44" w:rsidP="000F6C44">
      <w:pPr>
        <w:rPr>
          <w:rFonts w:cs="Arial"/>
        </w:rPr>
      </w:pPr>
      <w:r w:rsidRPr="006930D1">
        <w:rPr>
          <w:rStyle w:val="Textoennegrita"/>
          <w:rFonts w:cs="Arial"/>
        </w:rPr>
        <w:t>ARL</w:t>
      </w:r>
      <w:r w:rsidRPr="006930D1">
        <w:rPr>
          <w:rFonts w:cs="Arial"/>
        </w:rPr>
        <w:t>: Administradora de Riesgos Laborales</w:t>
      </w:r>
    </w:p>
    <w:p w14:paraId="686F0EFF" w14:textId="77777777" w:rsidR="000F6C44" w:rsidRPr="006930D1" w:rsidRDefault="000F6C44" w:rsidP="000F6C44">
      <w:pPr>
        <w:rPr>
          <w:rFonts w:cs="Arial"/>
        </w:rPr>
      </w:pPr>
    </w:p>
    <w:p w14:paraId="079F4234" w14:textId="77777777" w:rsidR="000C1C1B" w:rsidRPr="006930D1" w:rsidRDefault="000C1C1B" w:rsidP="000F6C44">
      <w:pPr>
        <w:rPr>
          <w:rFonts w:cs="Arial"/>
        </w:rPr>
      </w:pPr>
    </w:p>
    <w:p w14:paraId="03BB7825" w14:textId="77777777" w:rsidR="000F6C44" w:rsidRPr="006930D1" w:rsidRDefault="000F6C44" w:rsidP="009D0606">
      <w:pPr>
        <w:pStyle w:val="Ttulo3"/>
        <w:rPr>
          <w:rFonts w:cs="Arial"/>
          <w:szCs w:val="24"/>
        </w:rPr>
      </w:pPr>
      <w:bookmarkStart w:id="8" w:name="_Toc220368147"/>
      <w:r w:rsidRPr="006930D1">
        <w:rPr>
          <w:rFonts w:cs="Arial"/>
          <w:szCs w:val="24"/>
        </w:rPr>
        <w:t>ESTRATEGIA DE CUMPLIMIENTO</w:t>
      </w:r>
      <w:bookmarkEnd w:id="8"/>
    </w:p>
    <w:p w14:paraId="49FCE035" w14:textId="77777777" w:rsidR="000C1C1B" w:rsidRPr="006930D1" w:rsidRDefault="000C1C1B" w:rsidP="000F6C44">
      <w:pPr>
        <w:rPr>
          <w:rFonts w:cs="Arial"/>
          <w:b/>
        </w:rPr>
      </w:pPr>
    </w:p>
    <w:p w14:paraId="05323703" w14:textId="77777777" w:rsidR="000F6C44" w:rsidRPr="006930D1" w:rsidRDefault="000F6C44" w:rsidP="000F6C44">
      <w:pPr>
        <w:jc w:val="both"/>
        <w:rPr>
          <w:rFonts w:cs="Arial"/>
        </w:rPr>
      </w:pPr>
      <w:r w:rsidRPr="006930D1">
        <w:rPr>
          <w:rFonts w:cs="Arial"/>
        </w:rPr>
        <w:t>La estrategia de cumplimiento del Sistema de Gestión de la Seguridad y Salud en el Trabajo (SG-SST) para la vigencia 2026 se orienta a garantizar la ejecución efectiva del Plan Anual de Trabajo SST, el cumplimiento de los requisitos legales aplicables y el fortalecimiento de una cultura organizacional basada en la prevención, el autocuidado y la mejora continua.</w:t>
      </w:r>
    </w:p>
    <w:p w14:paraId="727514D3" w14:textId="77777777" w:rsidR="000F6C44" w:rsidRPr="006930D1" w:rsidRDefault="000F6C44" w:rsidP="000F6C44">
      <w:pPr>
        <w:jc w:val="both"/>
        <w:rPr>
          <w:rFonts w:cs="Arial"/>
        </w:rPr>
      </w:pPr>
      <w:r w:rsidRPr="006930D1">
        <w:rPr>
          <w:rFonts w:cs="Arial"/>
        </w:rPr>
        <w:t>Para el desarrollo del SG-SST, la Administración Municipal de Armenia articula acciones técnicas, administrativas y operativas, integrando la participación activa de la alta dirección, los líderes de proceso, los comités institucionales, los funcionarios y los contratistas, con el fin de asegurar la implementación adecuada de las medidas de prevención y control de los riesgos laborales.</w:t>
      </w:r>
    </w:p>
    <w:p w14:paraId="10ACDF56" w14:textId="77777777" w:rsidR="000C1C1B" w:rsidRPr="006930D1" w:rsidRDefault="000C1C1B" w:rsidP="000F6C44">
      <w:pPr>
        <w:jc w:val="both"/>
        <w:rPr>
          <w:rFonts w:cs="Arial"/>
        </w:rPr>
      </w:pPr>
    </w:p>
    <w:p w14:paraId="5300A34F" w14:textId="77777777" w:rsidR="000F6C44" w:rsidRPr="006930D1" w:rsidRDefault="000F6C44" w:rsidP="000F6C44">
      <w:pPr>
        <w:jc w:val="both"/>
        <w:rPr>
          <w:rFonts w:cs="Arial"/>
        </w:rPr>
      </w:pPr>
      <w:r w:rsidRPr="006930D1">
        <w:rPr>
          <w:rFonts w:cs="Arial"/>
        </w:rPr>
        <w:t>La estrategia de cumplimiento para la vigencia 2026 se fundamenta en los siguientes lineamientos:</w:t>
      </w:r>
    </w:p>
    <w:p w14:paraId="5A85E8F6" w14:textId="77777777" w:rsidR="000C1C1B" w:rsidRPr="006930D1" w:rsidRDefault="000C1C1B" w:rsidP="000F6C44">
      <w:pPr>
        <w:jc w:val="both"/>
        <w:rPr>
          <w:rFonts w:cs="Arial"/>
        </w:rPr>
      </w:pPr>
    </w:p>
    <w:p w14:paraId="5E470859" w14:textId="77777777" w:rsidR="000F6C44" w:rsidRPr="006930D1" w:rsidRDefault="000F6C44" w:rsidP="000F6C44">
      <w:pPr>
        <w:pStyle w:val="Prrafodelista"/>
        <w:numPr>
          <w:ilvl w:val="0"/>
          <w:numId w:val="13"/>
        </w:numPr>
        <w:spacing w:after="160" w:line="259" w:lineRule="auto"/>
        <w:rPr>
          <w:rFonts w:ascii="Arial" w:hAnsi="Arial" w:cs="Arial"/>
          <w:sz w:val="24"/>
          <w:szCs w:val="24"/>
          <w:lang w:eastAsia="es-CO"/>
        </w:rPr>
      </w:pPr>
      <w:r w:rsidRPr="006930D1">
        <w:rPr>
          <w:rFonts w:ascii="Arial" w:hAnsi="Arial" w:cs="Arial"/>
          <w:b/>
          <w:bCs/>
          <w:sz w:val="24"/>
          <w:szCs w:val="24"/>
          <w:lang w:eastAsia="es-CO"/>
        </w:rPr>
        <w:lastRenderedPageBreak/>
        <w:t>Planeación y organización del SG-SST</w:t>
      </w:r>
      <w:r w:rsidRPr="006930D1">
        <w:rPr>
          <w:rFonts w:ascii="Arial" w:hAnsi="Arial" w:cs="Arial"/>
          <w:sz w:val="24"/>
          <w:szCs w:val="24"/>
          <w:lang w:eastAsia="es-CO"/>
        </w:rPr>
        <w:t>: definición de objetivos, metas, actividades, responsables, recursos y cronogramas, de acuerdo con los riesgos identificados y los resultados de la gestión del año anterior.</w:t>
      </w:r>
    </w:p>
    <w:p w14:paraId="66181625" w14:textId="77777777" w:rsidR="000F6C44" w:rsidRPr="006930D1" w:rsidRDefault="000F6C44" w:rsidP="000F6C44">
      <w:pPr>
        <w:pStyle w:val="Prrafodelista"/>
        <w:numPr>
          <w:ilvl w:val="0"/>
          <w:numId w:val="13"/>
        </w:numPr>
        <w:spacing w:after="160" w:line="259" w:lineRule="auto"/>
        <w:rPr>
          <w:rFonts w:ascii="Arial" w:hAnsi="Arial" w:cs="Arial"/>
          <w:sz w:val="24"/>
          <w:szCs w:val="24"/>
          <w:lang w:eastAsia="es-CO"/>
        </w:rPr>
      </w:pPr>
      <w:r w:rsidRPr="006930D1">
        <w:rPr>
          <w:rFonts w:ascii="Arial" w:hAnsi="Arial" w:cs="Arial"/>
          <w:b/>
          <w:bCs/>
          <w:sz w:val="24"/>
          <w:szCs w:val="24"/>
          <w:lang w:eastAsia="es-CO"/>
        </w:rPr>
        <w:t>Comunicación y divulgación</w:t>
      </w:r>
      <w:r w:rsidRPr="006930D1">
        <w:rPr>
          <w:rFonts w:ascii="Arial" w:hAnsi="Arial" w:cs="Arial"/>
          <w:sz w:val="24"/>
          <w:szCs w:val="24"/>
          <w:lang w:eastAsia="es-CO"/>
        </w:rPr>
        <w:t>: fortalecimiento de los canales de comunicación interna para la socialización de la política, los programas y las actividades del SG-SST, promoviendo la participación y el compromiso de los trabajadores.</w:t>
      </w:r>
    </w:p>
    <w:p w14:paraId="45168526" w14:textId="77777777" w:rsidR="000F6C44" w:rsidRPr="006930D1" w:rsidRDefault="000F6C44" w:rsidP="000F6C44">
      <w:pPr>
        <w:pStyle w:val="Prrafodelista"/>
        <w:numPr>
          <w:ilvl w:val="0"/>
          <w:numId w:val="13"/>
        </w:numPr>
        <w:spacing w:after="160" w:line="259" w:lineRule="auto"/>
        <w:rPr>
          <w:rFonts w:ascii="Arial" w:hAnsi="Arial" w:cs="Arial"/>
          <w:sz w:val="24"/>
          <w:szCs w:val="24"/>
          <w:lang w:eastAsia="es-CO"/>
        </w:rPr>
      </w:pPr>
      <w:r w:rsidRPr="006930D1">
        <w:rPr>
          <w:rFonts w:ascii="Arial" w:hAnsi="Arial" w:cs="Arial"/>
          <w:b/>
          <w:bCs/>
          <w:sz w:val="24"/>
          <w:szCs w:val="24"/>
          <w:lang w:eastAsia="es-CO"/>
        </w:rPr>
        <w:t>Capacitación y entrenamiento</w:t>
      </w:r>
      <w:r w:rsidRPr="006930D1">
        <w:rPr>
          <w:rFonts w:ascii="Arial" w:hAnsi="Arial" w:cs="Arial"/>
          <w:sz w:val="24"/>
          <w:szCs w:val="24"/>
          <w:lang w:eastAsia="es-CO"/>
        </w:rPr>
        <w:t>: ejecución de programas de capacitación y sensibilización en temas de Seguridad y Salud en el Trabajo, acorde con los riesgos específicos de cada proceso y las necesidades identificadas.</w:t>
      </w:r>
    </w:p>
    <w:p w14:paraId="0BFED860" w14:textId="77777777" w:rsidR="000F6C44" w:rsidRPr="006930D1" w:rsidRDefault="000F6C44" w:rsidP="000F6C44">
      <w:pPr>
        <w:pStyle w:val="Prrafodelista"/>
        <w:numPr>
          <w:ilvl w:val="0"/>
          <w:numId w:val="13"/>
        </w:numPr>
        <w:spacing w:after="160" w:line="259" w:lineRule="auto"/>
        <w:rPr>
          <w:rFonts w:ascii="Arial" w:hAnsi="Arial" w:cs="Arial"/>
          <w:sz w:val="24"/>
          <w:szCs w:val="24"/>
          <w:lang w:eastAsia="es-CO"/>
        </w:rPr>
      </w:pPr>
      <w:r w:rsidRPr="006930D1">
        <w:rPr>
          <w:rFonts w:ascii="Arial" w:hAnsi="Arial" w:cs="Arial"/>
          <w:b/>
          <w:bCs/>
          <w:sz w:val="24"/>
          <w:szCs w:val="24"/>
          <w:lang w:eastAsia="es-CO"/>
        </w:rPr>
        <w:t>Gestión del riesgo</w:t>
      </w:r>
      <w:r w:rsidRPr="006930D1">
        <w:rPr>
          <w:rFonts w:ascii="Arial" w:hAnsi="Arial" w:cs="Arial"/>
          <w:sz w:val="24"/>
          <w:szCs w:val="24"/>
          <w:lang w:eastAsia="es-CO"/>
        </w:rPr>
        <w:t>: implementación de medidas de control para los peligros identificados, priorizando aquellos con mayor nivel de riesgo, mediante acciones preventivas, correctivas y de mejora.</w:t>
      </w:r>
    </w:p>
    <w:p w14:paraId="4ABF9EFC" w14:textId="77777777" w:rsidR="000F6C44" w:rsidRPr="006930D1" w:rsidRDefault="000F6C44" w:rsidP="000F6C44">
      <w:pPr>
        <w:pStyle w:val="Prrafodelista"/>
        <w:numPr>
          <w:ilvl w:val="0"/>
          <w:numId w:val="13"/>
        </w:numPr>
        <w:spacing w:after="160" w:line="259" w:lineRule="auto"/>
        <w:rPr>
          <w:rFonts w:ascii="Arial" w:hAnsi="Arial" w:cs="Arial"/>
          <w:sz w:val="24"/>
          <w:szCs w:val="24"/>
          <w:lang w:eastAsia="es-CO"/>
        </w:rPr>
      </w:pPr>
      <w:r w:rsidRPr="006930D1">
        <w:rPr>
          <w:rFonts w:ascii="Arial" w:hAnsi="Arial" w:cs="Arial"/>
          <w:b/>
          <w:bCs/>
          <w:sz w:val="24"/>
          <w:szCs w:val="24"/>
          <w:lang w:eastAsia="es-CO"/>
        </w:rPr>
        <w:t>Preparación y respuesta ante emergencias</w:t>
      </w:r>
      <w:r w:rsidRPr="006930D1">
        <w:rPr>
          <w:rFonts w:ascii="Arial" w:hAnsi="Arial" w:cs="Arial"/>
          <w:sz w:val="24"/>
          <w:szCs w:val="24"/>
          <w:lang w:eastAsia="es-CO"/>
        </w:rPr>
        <w:t>: fortalecimiento de la Brigada de Emergencias, ejecución de simulacros y actualización de los planes de emergencia, garantizando la capacidad de respuesta ante situaciones de emergencia.</w:t>
      </w:r>
    </w:p>
    <w:p w14:paraId="344307A8" w14:textId="77777777" w:rsidR="000F6C44" w:rsidRPr="006930D1" w:rsidRDefault="000F6C44" w:rsidP="000F6C44">
      <w:pPr>
        <w:pStyle w:val="Prrafodelista"/>
        <w:numPr>
          <w:ilvl w:val="0"/>
          <w:numId w:val="13"/>
        </w:numPr>
        <w:spacing w:after="160" w:line="259" w:lineRule="auto"/>
        <w:rPr>
          <w:rFonts w:ascii="Arial" w:hAnsi="Arial" w:cs="Arial"/>
          <w:sz w:val="24"/>
          <w:szCs w:val="24"/>
          <w:lang w:eastAsia="es-CO"/>
        </w:rPr>
      </w:pPr>
      <w:r w:rsidRPr="006930D1">
        <w:rPr>
          <w:rFonts w:ascii="Arial" w:hAnsi="Arial" w:cs="Arial"/>
          <w:b/>
          <w:bCs/>
          <w:sz w:val="24"/>
          <w:szCs w:val="24"/>
          <w:lang w:eastAsia="es-CO"/>
        </w:rPr>
        <w:t>Vigilancia de la salud de los trabajadores</w:t>
      </w:r>
      <w:r w:rsidRPr="006930D1">
        <w:rPr>
          <w:rFonts w:ascii="Arial" w:hAnsi="Arial" w:cs="Arial"/>
          <w:sz w:val="24"/>
          <w:szCs w:val="24"/>
          <w:lang w:eastAsia="es-CO"/>
        </w:rPr>
        <w:t>: desarrollo de los programas de vigilancia epidemiológica, seguimiento a las condiciones de salud y análisis de los resultados de los exámenes médicos ocupacionales.</w:t>
      </w:r>
    </w:p>
    <w:p w14:paraId="0A899745" w14:textId="77777777" w:rsidR="000F6C44" w:rsidRPr="006930D1" w:rsidRDefault="000F6C44" w:rsidP="000F6C44">
      <w:pPr>
        <w:pStyle w:val="Prrafodelista"/>
        <w:numPr>
          <w:ilvl w:val="0"/>
          <w:numId w:val="13"/>
        </w:numPr>
        <w:spacing w:after="160" w:line="259" w:lineRule="auto"/>
        <w:rPr>
          <w:rFonts w:ascii="Arial" w:hAnsi="Arial" w:cs="Arial"/>
          <w:sz w:val="24"/>
          <w:szCs w:val="24"/>
          <w:lang w:eastAsia="es-CO"/>
        </w:rPr>
      </w:pPr>
      <w:r w:rsidRPr="006930D1">
        <w:rPr>
          <w:rFonts w:ascii="Arial" w:hAnsi="Arial" w:cs="Arial"/>
          <w:b/>
          <w:bCs/>
          <w:sz w:val="24"/>
          <w:szCs w:val="24"/>
          <w:lang w:eastAsia="es-CO"/>
        </w:rPr>
        <w:t>Seguimiento y evaluación</w:t>
      </w:r>
      <w:r w:rsidRPr="006930D1">
        <w:rPr>
          <w:rFonts w:ascii="Arial" w:hAnsi="Arial" w:cs="Arial"/>
          <w:sz w:val="24"/>
          <w:szCs w:val="24"/>
          <w:lang w:eastAsia="es-CO"/>
        </w:rPr>
        <w:t>: medición permanente del desempeño del SG-SST mediante indicadores de estructura, proceso y resultado, así como la revisión periódica por la alta dirección.</w:t>
      </w:r>
    </w:p>
    <w:p w14:paraId="5B7CE05F" w14:textId="77777777" w:rsidR="000F6C44" w:rsidRPr="006930D1" w:rsidRDefault="000F6C44" w:rsidP="000F6C44">
      <w:pPr>
        <w:jc w:val="both"/>
        <w:rPr>
          <w:rFonts w:cs="Arial"/>
        </w:rPr>
      </w:pPr>
      <w:r w:rsidRPr="006930D1">
        <w:rPr>
          <w:rFonts w:cs="Arial"/>
        </w:rPr>
        <w:t>Estas estrategias permiten asegurar la trazabilidad entre el diagnóstico, la planeación, la ejecución y la evaluación del SG-SST, garantizando la mejora continua del sistema durante la vigencia 2026.</w:t>
      </w:r>
    </w:p>
    <w:p w14:paraId="60B88017" w14:textId="77777777" w:rsidR="000F6C44" w:rsidRPr="006930D1" w:rsidRDefault="000F6C44" w:rsidP="000F6C44">
      <w:pPr>
        <w:rPr>
          <w:rFonts w:cs="Arial"/>
        </w:rPr>
      </w:pPr>
    </w:p>
    <w:p w14:paraId="2116DB8F" w14:textId="77777777" w:rsidR="000F6C44" w:rsidRPr="006930D1" w:rsidRDefault="000F6C44" w:rsidP="009D0606">
      <w:pPr>
        <w:pStyle w:val="Ttulo3"/>
        <w:rPr>
          <w:rFonts w:cs="Arial"/>
          <w:szCs w:val="24"/>
        </w:rPr>
      </w:pPr>
      <w:bookmarkStart w:id="9" w:name="_Toc220368148"/>
      <w:r w:rsidRPr="006930D1">
        <w:rPr>
          <w:rFonts w:cs="Arial"/>
          <w:szCs w:val="24"/>
        </w:rPr>
        <w:t>RESULTADOS DE GESTIÓN DEL SG-SST – VIGENCIA 2025 (INSUMO PARA 2026)</w:t>
      </w:r>
      <w:bookmarkEnd w:id="9"/>
    </w:p>
    <w:p w14:paraId="04F1B154" w14:textId="77777777" w:rsidR="000F6C44" w:rsidRPr="006930D1" w:rsidRDefault="000F6C44" w:rsidP="000F6C44">
      <w:pPr>
        <w:spacing w:before="100" w:beforeAutospacing="1" w:after="100" w:afterAutospacing="1"/>
        <w:jc w:val="both"/>
        <w:rPr>
          <w:rFonts w:cs="Arial"/>
        </w:rPr>
      </w:pPr>
      <w:r w:rsidRPr="006930D1">
        <w:rPr>
          <w:rFonts w:cs="Arial"/>
        </w:rPr>
        <w:t>Durante la vigencia 2025, la Administración Municipal de Armenia desarrolló acciones orientadas al fortalecimiento del Sistema de Gestión de la Seguridad y Salud en el Trabajo, las cuales permitieron evidenciar avances significativos en el cumplimiento de los estándares mínimos, así como identificar oportunidades de mejora que sirven como insumo para la planeación del SG-SST en la vigencia 2026.</w:t>
      </w:r>
    </w:p>
    <w:p w14:paraId="472C95B8" w14:textId="77777777" w:rsidR="000F6C44" w:rsidRPr="006930D1" w:rsidRDefault="000F6C44" w:rsidP="000F6C44">
      <w:pPr>
        <w:jc w:val="both"/>
        <w:rPr>
          <w:rFonts w:cs="Arial"/>
        </w:rPr>
      </w:pPr>
      <w:r w:rsidRPr="006930D1">
        <w:rPr>
          <w:rFonts w:cs="Arial"/>
        </w:rPr>
        <w:t>Entre los principales resultados de la gestión del SG-SST durante la vigencia 2025 se destacan:</w:t>
      </w:r>
    </w:p>
    <w:p w14:paraId="14788226" w14:textId="77777777" w:rsidR="000F6C44" w:rsidRPr="006930D1" w:rsidRDefault="000F6C44" w:rsidP="000F6C44">
      <w:pPr>
        <w:pStyle w:val="Prrafodelista"/>
        <w:numPr>
          <w:ilvl w:val="0"/>
          <w:numId w:val="15"/>
        </w:numPr>
        <w:spacing w:after="160" w:line="259" w:lineRule="auto"/>
        <w:rPr>
          <w:rFonts w:ascii="Arial" w:hAnsi="Arial" w:cs="Arial"/>
          <w:sz w:val="24"/>
          <w:szCs w:val="24"/>
          <w:lang w:eastAsia="es-CO"/>
        </w:rPr>
      </w:pPr>
      <w:r w:rsidRPr="006930D1">
        <w:rPr>
          <w:rFonts w:ascii="Arial" w:hAnsi="Arial" w:cs="Arial"/>
          <w:sz w:val="24"/>
          <w:szCs w:val="24"/>
          <w:lang w:eastAsia="es-CO"/>
        </w:rPr>
        <w:t>Ejecución del Plan Anual de Trabajo del SG-SST, con un nivel de cumplimiento que permitió fortalecer los programas de prevención y control de los riesgos laborales.</w:t>
      </w:r>
    </w:p>
    <w:p w14:paraId="6E259829" w14:textId="77777777" w:rsidR="000F6C44" w:rsidRPr="006930D1" w:rsidRDefault="000F6C44" w:rsidP="000F6C44">
      <w:pPr>
        <w:pStyle w:val="Prrafodelista"/>
        <w:numPr>
          <w:ilvl w:val="0"/>
          <w:numId w:val="15"/>
        </w:numPr>
        <w:spacing w:after="160" w:line="259" w:lineRule="auto"/>
        <w:rPr>
          <w:rFonts w:ascii="Arial" w:hAnsi="Arial" w:cs="Arial"/>
          <w:sz w:val="24"/>
          <w:szCs w:val="24"/>
          <w:lang w:eastAsia="es-CO"/>
        </w:rPr>
      </w:pPr>
      <w:r w:rsidRPr="006930D1">
        <w:rPr>
          <w:rFonts w:ascii="Arial" w:hAnsi="Arial" w:cs="Arial"/>
          <w:sz w:val="24"/>
          <w:szCs w:val="24"/>
          <w:lang w:eastAsia="es-CO"/>
        </w:rPr>
        <w:lastRenderedPageBreak/>
        <w:t>Desarrollo de actividades de capacitación y sensibilización en temas de Seguridad y Salud en el Trabajo, orientadas a la prevención de accidentes de trabajo y enfermedades laborales.</w:t>
      </w:r>
    </w:p>
    <w:p w14:paraId="334B4B1D" w14:textId="77777777" w:rsidR="000F6C44" w:rsidRPr="006930D1" w:rsidRDefault="000F6C44" w:rsidP="000F6C44">
      <w:pPr>
        <w:pStyle w:val="Prrafodelista"/>
        <w:numPr>
          <w:ilvl w:val="0"/>
          <w:numId w:val="15"/>
        </w:numPr>
        <w:spacing w:after="160" w:line="259" w:lineRule="auto"/>
        <w:rPr>
          <w:rFonts w:ascii="Arial" w:hAnsi="Arial" w:cs="Arial"/>
          <w:sz w:val="24"/>
          <w:szCs w:val="24"/>
          <w:lang w:eastAsia="es-CO"/>
        </w:rPr>
      </w:pPr>
      <w:r w:rsidRPr="006930D1">
        <w:rPr>
          <w:rFonts w:ascii="Arial" w:hAnsi="Arial" w:cs="Arial"/>
          <w:sz w:val="24"/>
          <w:szCs w:val="24"/>
          <w:lang w:eastAsia="es-CO"/>
        </w:rPr>
        <w:t>Implementación de acciones de seguimiento a la accidentalidad laboral, incluyendo la investigación de incidentes y accidentes de trabajo y la definición de acciones de mejora.</w:t>
      </w:r>
    </w:p>
    <w:p w14:paraId="6A8D78DD" w14:textId="77777777" w:rsidR="000F6C44" w:rsidRPr="006930D1" w:rsidRDefault="000F6C44" w:rsidP="000F6C44">
      <w:pPr>
        <w:pStyle w:val="Prrafodelista"/>
        <w:numPr>
          <w:ilvl w:val="0"/>
          <w:numId w:val="15"/>
        </w:numPr>
        <w:spacing w:after="160" w:line="259" w:lineRule="auto"/>
        <w:rPr>
          <w:rFonts w:ascii="Arial" w:hAnsi="Arial" w:cs="Arial"/>
          <w:sz w:val="24"/>
          <w:szCs w:val="24"/>
          <w:lang w:eastAsia="es-CO"/>
        </w:rPr>
      </w:pPr>
      <w:r w:rsidRPr="006930D1">
        <w:rPr>
          <w:rFonts w:ascii="Arial" w:hAnsi="Arial" w:cs="Arial"/>
          <w:sz w:val="24"/>
          <w:szCs w:val="24"/>
          <w:lang w:eastAsia="es-CO"/>
        </w:rPr>
        <w:t>Ejecución de los programas de vigilancia epidemiológica, con seguimiento a los riesgos prioritarios identificados en la Entidad.</w:t>
      </w:r>
    </w:p>
    <w:p w14:paraId="5062B49D" w14:textId="77777777" w:rsidR="000F6C44" w:rsidRPr="006930D1" w:rsidRDefault="000F6C44" w:rsidP="000F6C44">
      <w:pPr>
        <w:pStyle w:val="Prrafodelista"/>
        <w:numPr>
          <w:ilvl w:val="0"/>
          <w:numId w:val="15"/>
        </w:numPr>
        <w:spacing w:after="160" w:line="259" w:lineRule="auto"/>
        <w:rPr>
          <w:rFonts w:ascii="Arial" w:hAnsi="Arial" w:cs="Arial"/>
          <w:sz w:val="24"/>
          <w:szCs w:val="24"/>
          <w:lang w:eastAsia="es-CO"/>
        </w:rPr>
      </w:pPr>
      <w:r w:rsidRPr="006930D1">
        <w:rPr>
          <w:rFonts w:ascii="Arial" w:hAnsi="Arial" w:cs="Arial"/>
          <w:sz w:val="24"/>
          <w:szCs w:val="24"/>
          <w:lang w:eastAsia="es-CO"/>
        </w:rPr>
        <w:t>Aplicación y análisis de la Batería de Instrumentos para la Evaluación de Factores de Riesgo Psicosocial, así como la ejecución de acciones de intervención y acompañamiento.</w:t>
      </w:r>
    </w:p>
    <w:p w14:paraId="75B7CE50" w14:textId="77777777" w:rsidR="000F6C44" w:rsidRPr="006930D1" w:rsidRDefault="000F6C44" w:rsidP="000F6C44">
      <w:pPr>
        <w:pStyle w:val="Prrafodelista"/>
        <w:numPr>
          <w:ilvl w:val="0"/>
          <w:numId w:val="15"/>
        </w:numPr>
        <w:spacing w:after="160" w:line="259" w:lineRule="auto"/>
        <w:rPr>
          <w:rFonts w:ascii="Arial" w:hAnsi="Arial" w:cs="Arial"/>
          <w:sz w:val="24"/>
          <w:szCs w:val="24"/>
          <w:lang w:eastAsia="es-CO"/>
        </w:rPr>
      </w:pPr>
      <w:r w:rsidRPr="006930D1">
        <w:rPr>
          <w:rFonts w:ascii="Arial" w:hAnsi="Arial" w:cs="Arial"/>
          <w:sz w:val="24"/>
          <w:szCs w:val="24"/>
          <w:lang w:eastAsia="es-CO"/>
        </w:rPr>
        <w:t>Fortalecimiento de los comités del SG-SST (COPASST y Comité de Convivencia Laboral), promoviendo la participación de los trabajadores en la gestión preventiva.</w:t>
      </w:r>
    </w:p>
    <w:p w14:paraId="2772C6C1" w14:textId="77777777" w:rsidR="000F6C44" w:rsidRPr="006930D1" w:rsidRDefault="000F6C44" w:rsidP="000F6C44">
      <w:pPr>
        <w:jc w:val="both"/>
        <w:rPr>
          <w:rFonts w:cs="Arial"/>
        </w:rPr>
      </w:pPr>
      <w:r w:rsidRPr="006930D1">
        <w:rPr>
          <w:rFonts w:cs="Arial"/>
        </w:rPr>
        <w:t>Así mismo, los resultados obtenidos durante la vigencia 2025 permitieron identificar brechas relacionadas con la necesidad de fortalecer la gestión de emergencias, el seguimiento a las condiciones de salud de los trabajadores, la intervención del riesgo psicosocial y la mejora de algunas condiciones locativas, las cuales son abordadas en el diagnóstico y el Plan Anual de Trabajo del SG-SST para la vigencia 2026.</w:t>
      </w:r>
    </w:p>
    <w:p w14:paraId="793F9EF8" w14:textId="77777777" w:rsidR="000C1C1B" w:rsidRPr="006930D1" w:rsidRDefault="000C1C1B" w:rsidP="000F6C44">
      <w:pPr>
        <w:jc w:val="both"/>
        <w:rPr>
          <w:rFonts w:cs="Arial"/>
        </w:rPr>
      </w:pPr>
    </w:p>
    <w:p w14:paraId="18C28D87" w14:textId="77777777" w:rsidR="000F6C44" w:rsidRPr="006930D1" w:rsidRDefault="000F6C44" w:rsidP="000F6C44">
      <w:pPr>
        <w:jc w:val="both"/>
        <w:rPr>
          <w:rFonts w:cs="Arial"/>
        </w:rPr>
      </w:pPr>
      <w:r w:rsidRPr="006930D1">
        <w:rPr>
          <w:rFonts w:cs="Arial"/>
        </w:rPr>
        <w:t>Los resultados de gestión del SG-SST correspondientes a la vigencia 2025 constituyen un insumo fundamental para la toma de decisiones, la priorización de actividades y la definición de estrategias orientadas a fortalecer el desempeño del sistema y garantizar la mejora continua durante la vigencia 2026.</w:t>
      </w:r>
    </w:p>
    <w:p w14:paraId="7ABC2A36" w14:textId="77777777" w:rsidR="000F6C44" w:rsidRPr="006930D1" w:rsidRDefault="000F6C44" w:rsidP="000F6C44">
      <w:pPr>
        <w:jc w:val="both"/>
        <w:rPr>
          <w:rFonts w:cs="Arial"/>
          <w:b/>
        </w:rPr>
      </w:pPr>
    </w:p>
    <w:p w14:paraId="1FAC6656" w14:textId="77777777" w:rsidR="000F6C44" w:rsidRPr="006930D1" w:rsidRDefault="000F6C44" w:rsidP="009D0606">
      <w:pPr>
        <w:pStyle w:val="Ttulo3"/>
        <w:rPr>
          <w:rFonts w:cs="Arial"/>
          <w:szCs w:val="24"/>
        </w:rPr>
      </w:pPr>
      <w:bookmarkStart w:id="10" w:name="_Toc220368149"/>
      <w:r w:rsidRPr="006930D1">
        <w:rPr>
          <w:rFonts w:cs="Arial"/>
          <w:szCs w:val="24"/>
        </w:rPr>
        <w:t>DIAGNÓSTICO DE NECESIDAD PARA LA VIGENCIA 2026</w:t>
      </w:r>
      <w:bookmarkEnd w:id="10"/>
    </w:p>
    <w:p w14:paraId="33DEA984" w14:textId="77777777" w:rsidR="000C1C1B" w:rsidRPr="006930D1" w:rsidRDefault="000C1C1B" w:rsidP="000F6C44">
      <w:pPr>
        <w:jc w:val="both"/>
        <w:rPr>
          <w:rFonts w:cs="Arial"/>
          <w:b/>
        </w:rPr>
      </w:pPr>
    </w:p>
    <w:p w14:paraId="0019F03E" w14:textId="77777777" w:rsidR="000F6C44" w:rsidRPr="006930D1" w:rsidRDefault="000F6C44" w:rsidP="000F6C44">
      <w:pPr>
        <w:jc w:val="both"/>
        <w:rPr>
          <w:rFonts w:cs="Arial"/>
        </w:rPr>
      </w:pPr>
      <w:r w:rsidRPr="006930D1">
        <w:rPr>
          <w:rFonts w:cs="Arial"/>
        </w:rPr>
        <w:t>El diagnóstico de necesidad para la vigencia 2026 del Sistema de Gestión de la Seguridad y Salud en el Trabajo (SG-SST) de la Administración Municipal de Armenia se construye a partir del análisis integral de los resultados de la gestión del SG-SST durante la vigencia 2025, constituyéndose en el principal insumo técnico para la planeación de las actividades a desarrollar en el año 2026.</w:t>
      </w:r>
    </w:p>
    <w:p w14:paraId="7E223257" w14:textId="77777777" w:rsidR="000C1C1B" w:rsidRPr="006930D1" w:rsidRDefault="000C1C1B" w:rsidP="000F6C44">
      <w:pPr>
        <w:jc w:val="both"/>
        <w:rPr>
          <w:rFonts w:cs="Arial"/>
        </w:rPr>
      </w:pPr>
    </w:p>
    <w:p w14:paraId="00F2402D" w14:textId="77777777" w:rsidR="000F6C44" w:rsidRPr="006930D1" w:rsidRDefault="000F6C44" w:rsidP="000F6C44">
      <w:pPr>
        <w:jc w:val="both"/>
        <w:rPr>
          <w:rFonts w:cs="Arial"/>
        </w:rPr>
      </w:pPr>
      <w:r w:rsidRPr="006930D1">
        <w:rPr>
          <w:rFonts w:cs="Arial"/>
        </w:rPr>
        <w:t>Para la elaboración del presente diagnóstico se tuvieron en cuenta, entre otros, los siguientes elementos de entrada:</w:t>
      </w:r>
    </w:p>
    <w:p w14:paraId="6894B651" w14:textId="77777777" w:rsidR="000C1C1B" w:rsidRPr="006930D1" w:rsidRDefault="000C1C1B" w:rsidP="000F6C44">
      <w:pPr>
        <w:jc w:val="both"/>
        <w:rPr>
          <w:rFonts w:cs="Arial"/>
        </w:rPr>
      </w:pPr>
    </w:p>
    <w:p w14:paraId="2C233591" w14:textId="77777777" w:rsidR="000F6C44" w:rsidRPr="006930D1" w:rsidRDefault="000F6C44" w:rsidP="000F6C44">
      <w:pPr>
        <w:pStyle w:val="Prrafodelista"/>
        <w:numPr>
          <w:ilvl w:val="0"/>
          <w:numId w:val="16"/>
        </w:numPr>
        <w:spacing w:after="160" w:line="259" w:lineRule="auto"/>
        <w:jc w:val="left"/>
        <w:rPr>
          <w:rFonts w:ascii="Arial" w:hAnsi="Arial" w:cs="Arial"/>
          <w:sz w:val="24"/>
          <w:szCs w:val="24"/>
          <w:lang w:eastAsia="es-CO"/>
        </w:rPr>
      </w:pPr>
      <w:r w:rsidRPr="006930D1">
        <w:rPr>
          <w:rFonts w:ascii="Arial" w:hAnsi="Arial" w:cs="Arial"/>
          <w:sz w:val="24"/>
          <w:szCs w:val="24"/>
          <w:lang w:eastAsia="es-CO"/>
        </w:rPr>
        <w:t>Resultados del Informe de Gestión del SG-SST con corte a 31 de diciembre de 2025.</w:t>
      </w:r>
    </w:p>
    <w:p w14:paraId="5DCACF72" w14:textId="77777777" w:rsidR="000F6C44" w:rsidRPr="006930D1" w:rsidRDefault="000F6C44" w:rsidP="000F6C44">
      <w:pPr>
        <w:pStyle w:val="Prrafodelista"/>
        <w:numPr>
          <w:ilvl w:val="0"/>
          <w:numId w:val="16"/>
        </w:numPr>
        <w:spacing w:after="160" w:line="259" w:lineRule="auto"/>
        <w:jc w:val="left"/>
        <w:rPr>
          <w:rFonts w:ascii="Arial" w:hAnsi="Arial" w:cs="Arial"/>
          <w:sz w:val="24"/>
          <w:szCs w:val="24"/>
          <w:lang w:eastAsia="es-CO"/>
        </w:rPr>
      </w:pPr>
      <w:r w:rsidRPr="006930D1">
        <w:rPr>
          <w:rFonts w:ascii="Arial" w:hAnsi="Arial" w:cs="Arial"/>
          <w:sz w:val="24"/>
          <w:szCs w:val="24"/>
          <w:lang w:eastAsia="es-CO"/>
        </w:rPr>
        <w:t>Evaluación del cumplimiento de los estándares mínimos del SG-SST.</w:t>
      </w:r>
    </w:p>
    <w:p w14:paraId="4885251A" w14:textId="77777777" w:rsidR="000F6C44" w:rsidRPr="006930D1" w:rsidRDefault="000F6C44" w:rsidP="000F6C44">
      <w:pPr>
        <w:pStyle w:val="Prrafodelista"/>
        <w:numPr>
          <w:ilvl w:val="0"/>
          <w:numId w:val="16"/>
        </w:numPr>
        <w:spacing w:after="160" w:line="259" w:lineRule="auto"/>
        <w:jc w:val="left"/>
        <w:rPr>
          <w:rFonts w:ascii="Arial" w:hAnsi="Arial" w:cs="Arial"/>
          <w:sz w:val="24"/>
          <w:szCs w:val="24"/>
          <w:lang w:eastAsia="es-CO"/>
        </w:rPr>
      </w:pPr>
      <w:r w:rsidRPr="006930D1">
        <w:rPr>
          <w:rFonts w:ascii="Arial" w:hAnsi="Arial" w:cs="Arial"/>
          <w:sz w:val="24"/>
          <w:szCs w:val="24"/>
          <w:lang w:eastAsia="es-CO"/>
        </w:rPr>
        <w:t>Resultados de la identificación de peligros y valoración de riesgos.</w:t>
      </w:r>
    </w:p>
    <w:p w14:paraId="36ED245F" w14:textId="77777777" w:rsidR="000F6C44" w:rsidRPr="006930D1" w:rsidRDefault="000F6C44" w:rsidP="000F6C44">
      <w:pPr>
        <w:pStyle w:val="Prrafodelista"/>
        <w:numPr>
          <w:ilvl w:val="0"/>
          <w:numId w:val="16"/>
        </w:numPr>
        <w:spacing w:after="160" w:line="259" w:lineRule="auto"/>
        <w:jc w:val="left"/>
        <w:rPr>
          <w:rFonts w:ascii="Arial" w:hAnsi="Arial" w:cs="Arial"/>
          <w:sz w:val="24"/>
          <w:szCs w:val="24"/>
          <w:lang w:eastAsia="es-CO"/>
        </w:rPr>
      </w:pPr>
      <w:r w:rsidRPr="006930D1">
        <w:rPr>
          <w:rFonts w:ascii="Arial" w:hAnsi="Arial" w:cs="Arial"/>
          <w:sz w:val="24"/>
          <w:szCs w:val="24"/>
          <w:lang w:eastAsia="es-CO"/>
        </w:rPr>
        <w:t>Análisis de la accidentalidad laboral y de los incidentes reportados.</w:t>
      </w:r>
    </w:p>
    <w:p w14:paraId="429926C1" w14:textId="77777777" w:rsidR="000F6C44" w:rsidRPr="006930D1" w:rsidRDefault="000F6C44" w:rsidP="000F6C44">
      <w:pPr>
        <w:pStyle w:val="Prrafodelista"/>
        <w:numPr>
          <w:ilvl w:val="0"/>
          <w:numId w:val="16"/>
        </w:numPr>
        <w:spacing w:after="160" w:line="259" w:lineRule="auto"/>
        <w:jc w:val="left"/>
        <w:rPr>
          <w:rFonts w:ascii="Arial" w:hAnsi="Arial" w:cs="Arial"/>
          <w:sz w:val="24"/>
          <w:szCs w:val="24"/>
          <w:lang w:eastAsia="es-CO"/>
        </w:rPr>
      </w:pPr>
      <w:r w:rsidRPr="006930D1">
        <w:rPr>
          <w:rFonts w:ascii="Arial" w:hAnsi="Arial" w:cs="Arial"/>
          <w:sz w:val="24"/>
          <w:szCs w:val="24"/>
          <w:lang w:eastAsia="es-CO"/>
        </w:rPr>
        <w:lastRenderedPageBreak/>
        <w:t>Resultados de los exámenes médicos ocupacionales de ingreso, periódicos y de egreso.</w:t>
      </w:r>
    </w:p>
    <w:p w14:paraId="08709694" w14:textId="77777777" w:rsidR="000F6C44" w:rsidRPr="006930D1" w:rsidRDefault="000F6C44" w:rsidP="000F6C44">
      <w:pPr>
        <w:pStyle w:val="Prrafodelista"/>
        <w:numPr>
          <w:ilvl w:val="0"/>
          <w:numId w:val="16"/>
        </w:numPr>
        <w:spacing w:after="160" w:line="259" w:lineRule="auto"/>
        <w:jc w:val="left"/>
        <w:rPr>
          <w:rFonts w:ascii="Arial" w:hAnsi="Arial" w:cs="Arial"/>
          <w:sz w:val="24"/>
          <w:szCs w:val="24"/>
          <w:lang w:eastAsia="es-CO"/>
        </w:rPr>
      </w:pPr>
      <w:r w:rsidRPr="006930D1">
        <w:rPr>
          <w:rFonts w:ascii="Arial" w:hAnsi="Arial" w:cs="Arial"/>
          <w:sz w:val="24"/>
          <w:szCs w:val="24"/>
          <w:lang w:eastAsia="es-CO"/>
        </w:rPr>
        <w:t>Resultados de los programas de vigilancia epidemiológica.</w:t>
      </w:r>
    </w:p>
    <w:p w14:paraId="624D64C9" w14:textId="77777777" w:rsidR="000F6C44" w:rsidRPr="006930D1" w:rsidRDefault="000F6C44" w:rsidP="000F6C44">
      <w:pPr>
        <w:pStyle w:val="Prrafodelista"/>
        <w:numPr>
          <w:ilvl w:val="0"/>
          <w:numId w:val="16"/>
        </w:numPr>
        <w:spacing w:after="160" w:line="259" w:lineRule="auto"/>
        <w:jc w:val="left"/>
        <w:rPr>
          <w:rFonts w:ascii="Arial" w:hAnsi="Arial" w:cs="Arial"/>
          <w:sz w:val="24"/>
          <w:szCs w:val="24"/>
          <w:lang w:eastAsia="es-CO"/>
        </w:rPr>
      </w:pPr>
      <w:r w:rsidRPr="006930D1">
        <w:rPr>
          <w:rFonts w:ascii="Arial" w:hAnsi="Arial" w:cs="Arial"/>
          <w:sz w:val="24"/>
          <w:szCs w:val="24"/>
          <w:lang w:eastAsia="es-CO"/>
        </w:rPr>
        <w:t>Resultados de la aplicación de la Batería de Instrumentos para la Evaluación de Factores de Riesgo Psicosocial.</w:t>
      </w:r>
    </w:p>
    <w:p w14:paraId="4E2055A0" w14:textId="77777777" w:rsidR="000F6C44" w:rsidRPr="006930D1" w:rsidRDefault="000F6C44" w:rsidP="000F6C44">
      <w:pPr>
        <w:pStyle w:val="Prrafodelista"/>
        <w:numPr>
          <w:ilvl w:val="0"/>
          <w:numId w:val="16"/>
        </w:numPr>
        <w:spacing w:after="160" w:line="259" w:lineRule="auto"/>
        <w:jc w:val="left"/>
        <w:rPr>
          <w:rFonts w:ascii="Arial" w:hAnsi="Arial" w:cs="Arial"/>
          <w:sz w:val="24"/>
          <w:szCs w:val="24"/>
          <w:lang w:eastAsia="es-CO"/>
        </w:rPr>
      </w:pPr>
      <w:r w:rsidRPr="006930D1">
        <w:rPr>
          <w:rFonts w:ascii="Arial" w:hAnsi="Arial" w:cs="Arial"/>
          <w:sz w:val="24"/>
          <w:szCs w:val="24"/>
          <w:lang w:eastAsia="es-CO"/>
        </w:rPr>
        <w:t>Informes y recomendaciones emitidas por el COPASST y el Comité de Convivencia Laboral.</w:t>
      </w:r>
    </w:p>
    <w:p w14:paraId="4981B676" w14:textId="77777777" w:rsidR="000F6C44" w:rsidRPr="006930D1" w:rsidRDefault="000F6C44" w:rsidP="000F6C44">
      <w:pPr>
        <w:pStyle w:val="Prrafodelista"/>
        <w:numPr>
          <w:ilvl w:val="0"/>
          <w:numId w:val="16"/>
        </w:numPr>
        <w:spacing w:after="160" w:line="259" w:lineRule="auto"/>
        <w:jc w:val="left"/>
        <w:rPr>
          <w:rFonts w:ascii="Arial" w:hAnsi="Arial" w:cs="Arial"/>
          <w:sz w:val="24"/>
          <w:szCs w:val="24"/>
          <w:lang w:eastAsia="es-CO"/>
        </w:rPr>
      </w:pPr>
      <w:r w:rsidRPr="006930D1">
        <w:rPr>
          <w:rFonts w:ascii="Arial" w:hAnsi="Arial" w:cs="Arial"/>
          <w:sz w:val="24"/>
          <w:szCs w:val="24"/>
          <w:lang w:eastAsia="es-CO"/>
        </w:rPr>
        <w:t>Resultados de simulacros y evaluaciones de planes de emergencia.</w:t>
      </w:r>
    </w:p>
    <w:p w14:paraId="1041B6D2" w14:textId="77777777" w:rsidR="000F6C44" w:rsidRPr="006930D1" w:rsidRDefault="000F6C44" w:rsidP="000F6C44">
      <w:pPr>
        <w:jc w:val="both"/>
        <w:rPr>
          <w:rFonts w:cs="Arial"/>
        </w:rPr>
      </w:pPr>
      <w:r w:rsidRPr="006930D1">
        <w:rPr>
          <w:rFonts w:cs="Arial"/>
        </w:rPr>
        <w:t>El análisis de la información recopilada permitió identificar avances importantes en la implementación del SG-SST; sin embargo, también evidenció la necesidad de fortalecer algunos componentes del sistema, los cuales se priorizan para la vigencia 2026.</w:t>
      </w:r>
    </w:p>
    <w:p w14:paraId="440F439F" w14:textId="77777777" w:rsidR="000C1C1B" w:rsidRPr="006930D1" w:rsidRDefault="000C1C1B" w:rsidP="000F6C44">
      <w:pPr>
        <w:jc w:val="both"/>
        <w:rPr>
          <w:rFonts w:cs="Arial"/>
        </w:rPr>
      </w:pPr>
    </w:p>
    <w:p w14:paraId="18A2007B" w14:textId="77777777" w:rsidR="000F6C44" w:rsidRPr="006930D1" w:rsidRDefault="000F6C44" w:rsidP="000F6C44">
      <w:pPr>
        <w:jc w:val="both"/>
        <w:rPr>
          <w:rFonts w:cs="Arial"/>
        </w:rPr>
      </w:pPr>
      <w:r w:rsidRPr="006930D1">
        <w:rPr>
          <w:rFonts w:cs="Arial"/>
        </w:rPr>
        <w:t>Dentro de las principales necesidades identificadas se destacan las siguientes:</w:t>
      </w:r>
    </w:p>
    <w:p w14:paraId="19F940BC" w14:textId="77777777" w:rsidR="000C1C1B" w:rsidRPr="006930D1" w:rsidRDefault="000C1C1B" w:rsidP="000F6C44">
      <w:pPr>
        <w:jc w:val="both"/>
        <w:rPr>
          <w:rFonts w:cs="Arial"/>
        </w:rPr>
      </w:pPr>
    </w:p>
    <w:p w14:paraId="0A351BCE" w14:textId="77777777" w:rsidR="000F6C44" w:rsidRPr="006930D1" w:rsidRDefault="000F6C44" w:rsidP="000F6C44">
      <w:pPr>
        <w:pStyle w:val="Prrafodelista"/>
        <w:numPr>
          <w:ilvl w:val="0"/>
          <w:numId w:val="17"/>
        </w:numPr>
        <w:spacing w:after="160" w:line="259" w:lineRule="auto"/>
        <w:rPr>
          <w:rFonts w:ascii="Arial" w:hAnsi="Arial" w:cs="Arial"/>
          <w:sz w:val="24"/>
          <w:szCs w:val="24"/>
          <w:lang w:eastAsia="es-CO"/>
        </w:rPr>
      </w:pPr>
      <w:r w:rsidRPr="006930D1">
        <w:rPr>
          <w:rFonts w:ascii="Arial" w:hAnsi="Arial" w:cs="Arial"/>
          <w:sz w:val="24"/>
          <w:szCs w:val="24"/>
          <w:lang w:eastAsia="es-CO"/>
        </w:rPr>
        <w:t>Fortalecer la gestión de emergencias institucionales, incluyendo la actualización de los planes de emergencia, la dotación y capacitación de la Brigada de Emergencias y la realización de simulacros periódicos.</w:t>
      </w:r>
    </w:p>
    <w:p w14:paraId="32786775" w14:textId="77777777" w:rsidR="000F6C44" w:rsidRPr="006930D1" w:rsidRDefault="000F6C44" w:rsidP="000F6C44">
      <w:pPr>
        <w:pStyle w:val="Prrafodelista"/>
        <w:numPr>
          <w:ilvl w:val="0"/>
          <w:numId w:val="17"/>
        </w:numPr>
        <w:spacing w:after="160" w:line="259" w:lineRule="auto"/>
        <w:rPr>
          <w:rFonts w:ascii="Arial" w:hAnsi="Arial" w:cs="Arial"/>
          <w:sz w:val="24"/>
          <w:szCs w:val="24"/>
          <w:lang w:eastAsia="es-CO"/>
        </w:rPr>
      </w:pPr>
      <w:r w:rsidRPr="006930D1">
        <w:rPr>
          <w:rFonts w:ascii="Arial" w:hAnsi="Arial" w:cs="Arial"/>
          <w:sz w:val="24"/>
          <w:szCs w:val="24"/>
          <w:lang w:eastAsia="es-CO"/>
        </w:rPr>
        <w:t>Reforzar la vigilancia epidemiológica de los riesgos prioritarios, especialmente los relacionados con desórdenes musculoesqueléticos, riesgo psicosocial y riesgo biológico.</w:t>
      </w:r>
    </w:p>
    <w:p w14:paraId="5025C121" w14:textId="77777777" w:rsidR="000F6C44" w:rsidRPr="006930D1" w:rsidRDefault="000F6C44" w:rsidP="000F6C44">
      <w:pPr>
        <w:pStyle w:val="Prrafodelista"/>
        <w:numPr>
          <w:ilvl w:val="0"/>
          <w:numId w:val="17"/>
        </w:numPr>
        <w:spacing w:after="160" w:line="259" w:lineRule="auto"/>
        <w:rPr>
          <w:rFonts w:ascii="Arial" w:hAnsi="Arial" w:cs="Arial"/>
          <w:sz w:val="24"/>
          <w:szCs w:val="24"/>
          <w:lang w:eastAsia="es-CO"/>
        </w:rPr>
      </w:pPr>
      <w:r w:rsidRPr="006930D1">
        <w:rPr>
          <w:rFonts w:ascii="Arial" w:hAnsi="Arial" w:cs="Arial"/>
          <w:sz w:val="24"/>
          <w:szCs w:val="24"/>
          <w:lang w:eastAsia="es-CO"/>
        </w:rPr>
        <w:t>Mejorar el seguimiento a las condiciones de salud de los trabajadores, a partir del análisis de los resultados de los exámenes médicos ocupacionales.</w:t>
      </w:r>
    </w:p>
    <w:p w14:paraId="536EEFB8" w14:textId="77777777" w:rsidR="000F6C44" w:rsidRPr="006930D1" w:rsidRDefault="000F6C44" w:rsidP="000F6C44">
      <w:pPr>
        <w:pStyle w:val="Prrafodelista"/>
        <w:numPr>
          <w:ilvl w:val="0"/>
          <w:numId w:val="17"/>
        </w:numPr>
        <w:spacing w:after="160" w:line="259" w:lineRule="auto"/>
        <w:rPr>
          <w:rFonts w:ascii="Arial" w:hAnsi="Arial" w:cs="Arial"/>
          <w:sz w:val="24"/>
          <w:szCs w:val="24"/>
          <w:lang w:eastAsia="es-CO"/>
        </w:rPr>
      </w:pPr>
      <w:r w:rsidRPr="006930D1">
        <w:rPr>
          <w:rFonts w:ascii="Arial" w:hAnsi="Arial" w:cs="Arial"/>
          <w:sz w:val="24"/>
          <w:szCs w:val="24"/>
          <w:lang w:eastAsia="es-CO"/>
        </w:rPr>
        <w:t>Fortalecer las acciones de prevención de la accidentalidad laboral, mediante el análisis de causas, la implementación de controles y el seguimiento a las acciones de mejora.</w:t>
      </w:r>
    </w:p>
    <w:p w14:paraId="61EF52CA" w14:textId="77777777" w:rsidR="000F6C44" w:rsidRPr="006930D1" w:rsidRDefault="000F6C44" w:rsidP="000F6C44">
      <w:pPr>
        <w:pStyle w:val="Prrafodelista"/>
        <w:numPr>
          <w:ilvl w:val="0"/>
          <w:numId w:val="17"/>
        </w:numPr>
        <w:spacing w:after="160" w:line="259" w:lineRule="auto"/>
        <w:rPr>
          <w:rFonts w:ascii="Arial" w:hAnsi="Arial" w:cs="Arial"/>
          <w:sz w:val="24"/>
          <w:szCs w:val="24"/>
          <w:lang w:eastAsia="es-CO"/>
        </w:rPr>
      </w:pPr>
      <w:r w:rsidRPr="006930D1">
        <w:rPr>
          <w:rFonts w:ascii="Arial" w:hAnsi="Arial" w:cs="Arial"/>
          <w:sz w:val="24"/>
          <w:szCs w:val="24"/>
          <w:lang w:eastAsia="es-CO"/>
        </w:rPr>
        <w:t>Intervenir las condiciones locativas y de infraestructura que puedan representar riesgo para la seguridad y la salud de los trabajadores.</w:t>
      </w:r>
    </w:p>
    <w:p w14:paraId="3547ED45" w14:textId="77777777" w:rsidR="000F6C44" w:rsidRPr="006930D1" w:rsidRDefault="000F6C44" w:rsidP="000F6C44">
      <w:pPr>
        <w:pStyle w:val="Prrafodelista"/>
        <w:numPr>
          <w:ilvl w:val="0"/>
          <w:numId w:val="17"/>
        </w:numPr>
        <w:spacing w:after="160" w:line="259" w:lineRule="auto"/>
        <w:rPr>
          <w:rFonts w:ascii="Arial" w:hAnsi="Arial" w:cs="Arial"/>
          <w:sz w:val="24"/>
          <w:szCs w:val="24"/>
          <w:lang w:eastAsia="es-CO"/>
        </w:rPr>
      </w:pPr>
      <w:r w:rsidRPr="006930D1">
        <w:rPr>
          <w:rFonts w:ascii="Arial" w:hAnsi="Arial" w:cs="Arial"/>
          <w:sz w:val="24"/>
          <w:szCs w:val="24"/>
          <w:lang w:eastAsia="es-CO"/>
        </w:rPr>
        <w:t>Fortalecer la cultura organizacional de seguridad y salud en el trabajo, promoviendo el autocuidado, la participación y el reporte oportuno de incidentes y condiciones inseguras.</w:t>
      </w:r>
    </w:p>
    <w:p w14:paraId="23663A66" w14:textId="77777777" w:rsidR="000F6C44" w:rsidRPr="006930D1" w:rsidRDefault="000F6C44" w:rsidP="000F6C44">
      <w:pPr>
        <w:pStyle w:val="Prrafodelista"/>
        <w:numPr>
          <w:ilvl w:val="0"/>
          <w:numId w:val="17"/>
        </w:numPr>
        <w:spacing w:after="160" w:line="259" w:lineRule="auto"/>
        <w:rPr>
          <w:rFonts w:ascii="Arial" w:hAnsi="Arial" w:cs="Arial"/>
          <w:sz w:val="24"/>
          <w:szCs w:val="24"/>
          <w:lang w:eastAsia="es-CO"/>
        </w:rPr>
      </w:pPr>
      <w:r w:rsidRPr="006930D1">
        <w:rPr>
          <w:rFonts w:ascii="Arial" w:hAnsi="Arial" w:cs="Arial"/>
          <w:sz w:val="24"/>
          <w:szCs w:val="24"/>
          <w:lang w:eastAsia="es-CO"/>
        </w:rPr>
        <w:t>Consolidar la gestión documental y el seguimiento a los indicadores del SG-SST, garantizando la trazabilidad y la mejora continua del sistema.</w:t>
      </w:r>
    </w:p>
    <w:p w14:paraId="23DB15BA" w14:textId="77777777" w:rsidR="000F6C44" w:rsidRPr="006930D1" w:rsidRDefault="000F6C44" w:rsidP="000F6C44">
      <w:pPr>
        <w:jc w:val="both"/>
        <w:rPr>
          <w:rFonts w:cs="Arial"/>
        </w:rPr>
      </w:pPr>
      <w:r w:rsidRPr="006930D1">
        <w:rPr>
          <w:rFonts w:cs="Arial"/>
        </w:rPr>
        <w:t xml:space="preserve">Las necesidades identificadas en el presente diagnóstico constituyen la base para la formulación del </w:t>
      </w:r>
      <w:r w:rsidRPr="006930D1">
        <w:rPr>
          <w:rFonts w:cs="Arial"/>
          <w:b/>
          <w:bCs/>
        </w:rPr>
        <w:t>Plan Anual de Trabajo del SG-SST para la vigencia 2026</w:t>
      </w:r>
      <w:r w:rsidRPr="006930D1">
        <w:rPr>
          <w:rFonts w:cs="Arial"/>
        </w:rPr>
        <w:t>, permitiendo priorizar actividades, asignar recursos y definir responsables, de acuerdo con los riesgos y brechas identificadas.</w:t>
      </w:r>
    </w:p>
    <w:p w14:paraId="26DD3CAA" w14:textId="77777777" w:rsidR="009D0606" w:rsidRPr="006930D1" w:rsidRDefault="009D0606" w:rsidP="000F6C44">
      <w:pPr>
        <w:jc w:val="both"/>
        <w:rPr>
          <w:rFonts w:cs="Arial"/>
        </w:rPr>
      </w:pPr>
    </w:p>
    <w:p w14:paraId="106D1329" w14:textId="77777777" w:rsidR="000F6C44" w:rsidRPr="006930D1" w:rsidRDefault="000F6C44" w:rsidP="009D0606">
      <w:pPr>
        <w:pStyle w:val="Ttulo3"/>
        <w:rPr>
          <w:rFonts w:cs="Arial"/>
          <w:szCs w:val="24"/>
        </w:rPr>
      </w:pPr>
      <w:bookmarkStart w:id="11" w:name="_Toc220368150"/>
      <w:r w:rsidRPr="006930D1">
        <w:rPr>
          <w:rFonts w:cs="Arial"/>
          <w:szCs w:val="24"/>
        </w:rPr>
        <w:t>DIAGNÓSTICO DE RIESGO PSICOSOCIAL Y ENTORNO LABORAL SALUDABLE</w:t>
      </w:r>
      <w:bookmarkEnd w:id="11"/>
    </w:p>
    <w:p w14:paraId="4384D7B9" w14:textId="77777777" w:rsidR="000C1C1B" w:rsidRPr="006930D1" w:rsidRDefault="000C1C1B" w:rsidP="000F6C44">
      <w:pPr>
        <w:rPr>
          <w:rFonts w:cs="Arial"/>
          <w:b/>
        </w:rPr>
      </w:pPr>
    </w:p>
    <w:p w14:paraId="5A54A727" w14:textId="77777777" w:rsidR="000F6C44" w:rsidRPr="006930D1" w:rsidRDefault="000F6C44" w:rsidP="000F6C44">
      <w:pPr>
        <w:jc w:val="both"/>
        <w:rPr>
          <w:rFonts w:cs="Arial"/>
        </w:rPr>
      </w:pPr>
      <w:r w:rsidRPr="006930D1">
        <w:rPr>
          <w:rFonts w:cs="Arial"/>
        </w:rPr>
        <w:lastRenderedPageBreak/>
        <w:t xml:space="preserve">El diagnóstico del riesgo psicosocial y del entorno laboral saludable para la vigencia 2026 se fundamenta en los resultados de la aplicación de la </w:t>
      </w:r>
      <w:r w:rsidRPr="006930D1">
        <w:rPr>
          <w:rFonts w:cs="Arial"/>
          <w:b/>
          <w:bCs/>
        </w:rPr>
        <w:t>Batería de Instrumentos para la Evaluación de Factores de Riesgo Psicosocial</w:t>
      </w:r>
      <w:r w:rsidRPr="006930D1">
        <w:rPr>
          <w:rFonts w:cs="Arial"/>
        </w:rPr>
        <w:t>, los acompañamientos psicológicos realizados durante la vigencia 2025, el análisis del clima laboral, las estadísticas de ausentismo, el análisis de la accidentalidad y los informes del Comité de Convivencia Laboral.</w:t>
      </w:r>
    </w:p>
    <w:p w14:paraId="7C9D5FED" w14:textId="77777777" w:rsidR="006930D1" w:rsidRPr="006930D1" w:rsidRDefault="006930D1" w:rsidP="000F6C44">
      <w:pPr>
        <w:jc w:val="both"/>
        <w:rPr>
          <w:rFonts w:cs="Arial"/>
        </w:rPr>
      </w:pPr>
    </w:p>
    <w:p w14:paraId="3C76025B" w14:textId="77777777" w:rsidR="000F6C44" w:rsidRPr="006930D1" w:rsidRDefault="000F6C44" w:rsidP="000F6C44">
      <w:pPr>
        <w:jc w:val="both"/>
        <w:rPr>
          <w:rFonts w:cs="Arial"/>
        </w:rPr>
      </w:pPr>
      <w:r w:rsidRPr="006930D1">
        <w:rPr>
          <w:rFonts w:cs="Arial"/>
        </w:rPr>
        <w:t>El análisis de la información permitió identificar factores de riesgo psicosocial asociados, principalmente, a la carga mental, el estrés laboral, las demandas emocionales, el liderazgo, las relaciones interpersonales y algunos aspectos organizacionales, tanto en áreas administrativas como operativas, los cuales requieren intervención prioritaria para la vigencia 2026.</w:t>
      </w:r>
    </w:p>
    <w:p w14:paraId="16452F42" w14:textId="77777777" w:rsidR="006930D1" w:rsidRPr="006930D1" w:rsidRDefault="006930D1" w:rsidP="000F6C44">
      <w:pPr>
        <w:jc w:val="both"/>
        <w:rPr>
          <w:rFonts w:cs="Arial"/>
        </w:rPr>
      </w:pPr>
    </w:p>
    <w:p w14:paraId="7732B46A" w14:textId="77777777" w:rsidR="000F6C44" w:rsidRPr="006930D1" w:rsidRDefault="000F6C44" w:rsidP="000F6C44">
      <w:pPr>
        <w:jc w:val="both"/>
        <w:rPr>
          <w:rFonts w:cs="Arial"/>
        </w:rPr>
      </w:pPr>
      <w:r w:rsidRPr="006930D1">
        <w:rPr>
          <w:rFonts w:cs="Arial"/>
        </w:rPr>
        <w:t>Así mismo, se evidenció la necesidad de fortalecer las acciones orientadas a la promoción de entornos laborales saludables, entendidos como aquellos espacios de trabajo que favorecen el bienestar físico, mental y social de los trabajadores, y que contribuyen al mejoramiento del clima organizacional y la productividad institucional.</w:t>
      </w:r>
    </w:p>
    <w:p w14:paraId="6F40449C" w14:textId="77777777" w:rsidR="000C1C1B" w:rsidRPr="006930D1" w:rsidRDefault="000C1C1B" w:rsidP="000F6C44">
      <w:pPr>
        <w:jc w:val="both"/>
        <w:rPr>
          <w:rFonts w:cs="Arial"/>
        </w:rPr>
      </w:pPr>
    </w:p>
    <w:p w14:paraId="0F95097D" w14:textId="77777777" w:rsidR="000F6C44" w:rsidRPr="006930D1" w:rsidRDefault="000F6C44" w:rsidP="000F6C44">
      <w:pPr>
        <w:jc w:val="both"/>
        <w:rPr>
          <w:rFonts w:cs="Arial"/>
        </w:rPr>
      </w:pPr>
      <w:r w:rsidRPr="006930D1">
        <w:rPr>
          <w:rFonts w:cs="Arial"/>
        </w:rPr>
        <w:t>Con base en lo anterior, para la vigencia 2026 se priorizan las siguientes líneas de intervención en materia de riesgo psicosocial y entorno laboral saludable:</w:t>
      </w:r>
    </w:p>
    <w:p w14:paraId="6399BAC7" w14:textId="77777777" w:rsidR="000C1C1B" w:rsidRPr="006930D1" w:rsidRDefault="000C1C1B" w:rsidP="000F6C44">
      <w:pPr>
        <w:jc w:val="both"/>
        <w:rPr>
          <w:rFonts w:cs="Arial"/>
        </w:rPr>
      </w:pPr>
    </w:p>
    <w:p w14:paraId="1B9F513E" w14:textId="77777777" w:rsidR="000F6C44" w:rsidRPr="006930D1" w:rsidRDefault="000F6C44" w:rsidP="000F6C44">
      <w:pPr>
        <w:pStyle w:val="Prrafodelista"/>
        <w:numPr>
          <w:ilvl w:val="0"/>
          <w:numId w:val="18"/>
        </w:numPr>
        <w:spacing w:after="160" w:line="259" w:lineRule="auto"/>
        <w:rPr>
          <w:rFonts w:ascii="Arial" w:hAnsi="Arial" w:cs="Arial"/>
          <w:sz w:val="24"/>
          <w:szCs w:val="24"/>
          <w:lang w:eastAsia="es-CO"/>
        </w:rPr>
      </w:pPr>
      <w:r w:rsidRPr="006930D1">
        <w:rPr>
          <w:rFonts w:ascii="Arial" w:hAnsi="Arial" w:cs="Arial"/>
          <w:sz w:val="24"/>
          <w:szCs w:val="24"/>
          <w:lang w:eastAsia="es-CO"/>
        </w:rPr>
        <w:t xml:space="preserve">Fortalecimiento del </w:t>
      </w:r>
      <w:r w:rsidRPr="006930D1">
        <w:rPr>
          <w:rFonts w:ascii="Arial" w:hAnsi="Arial" w:cs="Arial"/>
          <w:b/>
          <w:bCs/>
          <w:sz w:val="24"/>
          <w:szCs w:val="24"/>
          <w:lang w:eastAsia="es-CO"/>
        </w:rPr>
        <w:t>Programa de Vigilancia Epidemiológica del Riesgo Psicosocial</w:t>
      </w:r>
      <w:r w:rsidRPr="006930D1">
        <w:rPr>
          <w:rFonts w:ascii="Arial" w:hAnsi="Arial" w:cs="Arial"/>
          <w:sz w:val="24"/>
          <w:szCs w:val="24"/>
          <w:lang w:eastAsia="es-CO"/>
        </w:rPr>
        <w:t>, con seguimiento periódico a los factores identificados.</w:t>
      </w:r>
    </w:p>
    <w:p w14:paraId="49FC6F0C" w14:textId="77777777" w:rsidR="000F6C44" w:rsidRPr="006930D1" w:rsidRDefault="000F6C44" w:rsidP="000F6C44">
      <w:pPr>
        <w:pStyle w:val="Prrafodelista"/>
        <w:numPr>
          <w:ilvl w:val="0"/>
          <w:numId w:val="18"/>
        </w:numPr>
        <w:spacing w:after="160" w:line="259" w:lineRule="auto"/>
        <w:rPr>
          <w:rFonts w:ascii="Arial" w:hAnsi="Arial" w:cs="Arial"/>
          <w:sz w:val="24"/>
          <w:szCs w:val="24"/>
          <w:lang w:eastAsia="es-CO"/>
        </w:rPr>
      </w:pPr>
      <w:r w:rsidRPr="006930D1">
        <w:rPr>
          <w:rFonts w:ascii="Arial" w:hAnsi="Arial" w:cs="Arial"/>
          <w:sz w:val="24"/>
          <w:szCs w:val="24"/>
          <w:lang w:eastAsia="es-CO"/>
        </w:rPr>
        <w:t xml:space="preserve">Consolidación y fortalecimiento de la </w:t>
      </w:r>
      <w:r w:rsidRPr="006930D1">
        <w:rPr>
          <w:rFonts w:ascii="Arial" w:hAnsi="Arial" w:cs="Arial"/>
          <w:b/>
          <w:bCs/>
          <w:sz w:val="24"/>
          <w:szCs w:val="24"/>
          <w:lang w:eastAsia="es-CO"/>
        </w:rPr>
        <w:t>Brigada de Primeros Auxilios Psicológicos (B-PAP)</w:t>
      </w:r>
      <w:r w:rsidRPr="006930D1">
        <w:rPr>
          <w:rFonts w:ascii="Arial" w:hAnsi="Arial" w:cs="Arial"/>
          <w:sz w:val="24"/>
          <w:szCs w:val="24"/>
          <w:lang w:eastAsia="es-CO"/>
        </w:rPr>
        <w:t>.</w:t>
      </w:r>
    </w:p>
    <w:p w14:paraId="743CE9AF" w14:textId="77777777" w:rsidR="000F6C44" w:rsidRPr="006930D1" w:rsidRDefault="000F6C44" w:rsidP="000F6C44">
      <w:pPr>
        <w:pStyle w:val="Prrafodelista"/>
        <w:numPr>
          <w:ilvl w:val="0"/>
          <w:numId w:val="18"/>
        </w:numPr>
        <w:spacing w:after="160" w:line="259" w:lineRule="auto"/>
        <w:rPr>
          <w:rFonts w:ascii="Arial" w:hAnsi="Arial" w:cs="Arial"/>
          <w:sz w:val="24"/>
          <w:szCs w:val="24"/>
          <w:lang w:eastAsia="es-CO"/>
        </w:rPr>
      </w:pPr>
      <w:r w:rsidRPr="006930D1">
        <w:rPr>
          <w:rFonts w:ascii="Arial" w:hAnsi="Arial" w:cs="Arial"/>
          <w:sz w:val="24"/>
          <w:szCs w:val="24"/>
          <w:lang w:eastAsia="es-CO"/>
        </w:rPr>
        <w:t>Prestación de acompañamiento psicológico individual y grupal, con seguimiento y registro de las intervenciones realizadas.</w:t>
      </w:r>
    </w:p>
    <w:p w14:paraId="5FDDE5F8" w14:textId="77777777" w:rsidR="000F6C44" w:rsidRPr="006930D1" w:rsidRDefault="000F6C44" w:rsidP="000F6C44">
      <w:pPr>
        <w:pStyle w:val="Prrafodelista"/>
        <w:numPr>
          <w:ilvl w:val="0"/>
          <w:numId w:val="18"/>
        </w:numPr>
        <w:spacing w:after="160" w:line="259" w:lineRule="auto"/>
        <w:rPr>
          <w:rFonts w:ascii="Arial" w:hAnsi="Arial" w:cs="Arial"/>
          <w:sz w:val="24"/>
          <w:szCs w:val="24"/>
          <w:lang w:eastAsia="es-CO"/>
        </w:rPr>
      </w:pPr>
      <w:r w:rsidRPr="006930D1">
        <w:rPr>
          <w:rFonts w:ascii="Arial" w:hAnsi="Arial" w:cs="Arial"/>
          <w:sz w:val="24"/>
          <w:szCs w:val="24"/>
          <w:lang w:eastAsia="es-CO"/>
        </w:rPr>
        <w:t>Implementación de intervenciones psicosociales focalizadas en las dependencias con mayor nivel de riesgo.</w:t>
      </w:r>
    </w:p>
    <w:p w14:paraId="5ECC3D9F" w14:textId="77777777" w:rsidR="000F6C44" w:rsidRPr="006930D1" w:rsidRDefault="000F6C44" w:rsidP="000F6C44">
      <w:pPr>
        <w:pStyle w:val="Prrafodelista"/>
        <w:numPr>
          <w:ilvl w:val="0"/>
          <w:numId w:val="18"/>
        </w:numPr>
        <w:spacing w:after="160" w:line="259" w:lineRule="auto"/>
        <w:rPr>
          <w:rFonts w:ascii="Arial" w:hAnsi="Arial" w:cs="Arial"/>
          <w:sz w:val="24"/>
          <w:szCs w:val="24"/>
          <w:lang w:eastAsia="es-CO"/>
        </w:rPr>
      </w:pPr>
      <w:r w:rsidRPr="006930D1">
        <w:rPr>
          <w:rFonts w:ascii="Arial" w:hAnsi="Arial" w:cs="Arial"/>
          <w:sz w:val="24"/>
          <w:szCs w:val="24"/>
          <w:lang w:eastAsia="es-CO"/>
        </w:rPr>
        <w:t>Desarrollo de campañas de promoción de la salud mental, manejo del estrés, prevención del agotamiento laboral y fortalecimiento de habilidades socioemocionales.</w:t>
      </w:r>
    </w:p>
    <w:p w14:paraId="5C64F77E" w14:textId="77777777" w:rsidR="000F6C44" w:rsidRPr="006930D1" w:rsidRDefault="000F6C44" w:rsidP="000F6C44">
      <w:pPr>
        <w:pStyle w:val="Prrafodelista"/>
        <w:numPr>
          <w:ilvl w:val="0"/>
          <w:numId w:val="18"/>
        </w:numPr>
        <w:spacing w:after="160" w:line="259" w:lineRule="auto"/>
        <w:rPr>
          <w:rFonts w:ascii="Arial" w:hAnsi="Arial" w:cs="Arial"/>
          <w:sz w:val="24"/>
          <w:szCs w:val="24"/>
          <w:lang w:eastAsia="es-CO"/>
        </w:rPr>
      </w:pPr>
      <w:r w:rsidRPr="006930D1">
        <w:rPr>
          <w:rFonts w:ascii="Arial" w:hAnsi="Arial" w:cs="Arial"/>
          <w:sz w:val="24"/>
          <w:szCs w:val="24"/>
          <w:lang w:eastAsia="es-CO"/>
        </w:rPr>
        <w:t>Articulación de las acciones del SG-SST con los programas de bienestar institucional, deporte, recreación y pausas activas.</w:t>
      </w:r>
    </w:p>
    <w:p w14:paraId="28778AD8" w14:textId="77777777" w:rsidR="000F6C44" w:rsidRPr="006930D1" w:rsidRDefault="000F6C44" w:rsidP="000F6C44">
      <w:pPr>
        <w:pStyle w:val="Prrafodelista"/>
        <w:numPr>
          <w:ilvl w:val="0"/>
          <w:numId w:val="18"/>
        </w:numPr>
        <w:spacing w:after="160" w:line="259" w:lineRule="auto"/>
        <w:rPr>
          <w:rFonts w:ascii="Arial" w:hAnsi="Arial" w:cs="Arial"/>
          <w:sz w:val="24"/>
          <w:szCs w:val="24"/>
          <w:lang w:eastAsia="es-CO"/>
        </w:rPr>
      </w:pPr>
      <w:r w:rsidRPr="006930D1">
        <w:rPr>
          <w:rFonts w:ascii="Arial" w:hAnsi="Arial" w:cs="Arial"/>
          <w:sz w:val="24"/>
          <w:szCs w:val="24"/>
          <w:lang w:eastAsia="es-CO"/>
        </w:rPr>
        <w:t>Evaluación periódica del clima laboral y seguimiento a la efectividad de las acciones implementadas.</w:t>
      </w:r>
    </w:p>
    <w:p w14:paraId="0D1653CB" w14:textId="77777777" w:rsidR="000F6C44" w:rsidRPr="006930D1" w:rsidRDefault="000F6C44" w:rsidP="000F6C44">
      <w:pPr>
        <w:jc w:val="both"/>
        <w:rPr>
          <w:rFonts w:cs="Arial"/>
        </w:rPr>
      </w:pPr>
      <w:r w:rsidRPr="006930D1">
        <w:rPr>
          <w:rFonts w:cs="Arial"/>
        </w:rPr>
        <w:t>En relación con el entorno laboral saludable, la Administración Municipal priorizará durante la vigencia 2026 la mejora de las condiciones locativas, la ergonomía de los puestos de trabajo, la prevención de desórdenes musculoesqueléticos y la promoción de una cultura organizacional basada en el respeto, la convivencia, la inclusión y el autocuidado.</w:t>
      </w:r>
    </w:p>
    <w:p w14:paraId="2C9945A0" w14:textId="77777777" w:rsidR="000F6C44" w:rsidRPr="006930D1" w:rsidRDefault="000F6C44" w:rsidP="000F6C44">
      <w:pPr>
        <w:rPr>
          <w:rFonts w:cs="Arial"/>
        </w:rPr>
      </w:pPr>
    </w:p>
    <w:p w14:paraId="0F10CB6B" w14:textId="77777777" w:rsidR="000F6C44" w:rsidRPr="006930D1" w:rsidRDefault="000F6C44" w:rsidP="000F6C44">
      <w:pPr>
        <w:jc w:val="both"/>
        <w:rPr>
          <w:rFonts w:cs="Arial"/>
          <w:b/>
        </w:rPr>
      </w:pPr>
    </w:p>
    <w:p w14:paraId="12587581" w14:textId="77777777" w:rsidR="000F6C44" w:rsidRPr="006930D1" w:rsidRDefault="000F6C44" w:rsidP="009D0606">
      <w:pPr>
        <w:pStyle w:val="Ttulo3"/>
        <w:rPr>
          <w:rFonts w:cs="Arial"/>
          <w:szCs w:val="24"/>
        </w:rPr>
      </w:pPr>
      <w:bookmarkStart w:id="12" w:name="_Toc220368151"/>
      <w:r w:rsidRPr="006930D1">
        <w:rPr>
          <w:rFonts w:cs="Arial"/>
          <w:szCs w:val="24"/>
        </w:rPr>
        <w:lastRenderedPageBreak/>
        <w:t>SEGUIMIENTO DEL PLAN Y MEJORAMIENTO</w:t>
      </w:r>
      <w:bookmarkEnd w:id="12"/>
    </w:p>
    <w:p w14:paraId="66A0A117" w14:textId="77777777" w:rsidR="000C1C1B" w:rsidRPr="006930D1" w:rsidRDefault="000C1C1B" w:rsidP="000F6C44">
      <w:pPr>
        <w:jc w:val="both"/>
        <w:rPr>
          <w:rFonts w:cs="Arial"/>
          <w:b/>
        </w:rPr>
      </w:pPr>
    </w:p>
    <w:p w14:paraId="3B50D748" w14:textId="77777777" w:rsidR="000F6C44" w:rsidRPr="006930D1" w:rsidRDefault="000F6C44" w:rsidP="000F6C44">
      <w:pPr>
        <w:jc w:val="both"/>
        <w:rPr>
          <w:rFonts w:cs="Arial"/>
        </w:rPr>
      </w:pPr>
      <w:r w:rsidRPr="006930D1">
        <w:rPr>
          <w:rFonts w:cs="Arial"/>
        </w:rPr>
        <w:t>El seguimiento y evaluación del Plan Anual de Seguridad y Salud en el Trabajo (SG-SST) para la vigencia 2026 se realizará de manera sistemática y continua, con el propósito de verificar el cumplimiento de las actividades programadas, evaluar la eficacia de las acciones implementadas y garantizar la mejora continua del sistema.</w:t>
      </w:r>
    </w:p>
    <w:p w14:paraId="275FBC86" w14:textId="77777777" w:rsidR="000F6C44" w:rsidRPr="006930D1" w:rsidRDefault="000F6C44" w:rsidP="000F6C44">
      <w:pPr>
        <w:jc w:val="both"/>
        <w:rPr>
          <w:rFonts w:cs="Arial"/>
        </w:rPr>
      </w:pPr>
      <w:r w:rsidRPr="006930D1">
        <w:rPr>
          <w:rFonts w:cs="Arial"/>
        </w:rPr>
        <w:t xml:space="preserve">Para el seguimiento del SG-SST se tendrán en cuenta los indicadores definidos en el Plan Anual de Trabajo, los cuales permiten medir el desempeño del sistema a través de indicadores de </w:t>
      </w:r>
      <w:r w:rsidRPr="006930D1">
        <w:rPr>
          <w:rStyle w:val="Textoennegrita"/>
          <w:rFonts w:cs="Arial"/>
        </w:rPr>
        <w:t>estructura, proceso y resultado</w:t>
      </w:r>
      <w:r w:rsidRPr="006930D1">
        <w:rPr>
          <w:rFonts w:cs="Arial"/>
        </w:rPr>
        <w:t>, de conformidad con lo establecido en la normatividad vigente y los lineamientos institucionales.</w:t>
      </w:r>
    </w:p>
    <w:p w14:paraId="1ED03294" w14:textId="77777777" w:rsidR="000F6C44" w:rsidRPr="006930D1" w:rsidRDefault="000F6C44" w:rsidP="000F6C44">
      <w:pPr>
        <w:jc w:val="both"/>
        <w:rPr>
          <w:rFonts w:cs="Arial"/>
        </w:rPr>
      </w:pPr>
      <w:r w:rsidRPr="006930D1">
        <w:rPr>
          <w:rFonts w:cs="Arial"/>
        </w:rPr>
        <w:t>El responsable del SG-SST realizará el seguimiento periódico al cumplimiento del Plan Anual de Trabajo SST, verificando la ejecución de las actividades programadas, el cumplimiento de los cronogramas establecidos, la disponibilidad de las evidencias requeridas y la efectividad de las acciones implementadas.</w:t>
      </w:r>
    </w:p>
    <w:p w14:paraId="34311FB3" w14:textId="77777777" w:rsidR="000C1C1B" w:rsidRPr="006930D1" w:rsidRDefault="000C1C1B" w:rsidP="000F6C44">
      <w:pPr>
        <w:jc w:val="both"/>
        <w:rPr>
          <w:rFonts w:cs="Arial"/>
        </w:rPr>
      </w:pPr>
    </w:p>
    <w:p w14:paraId="5B99D7E3" w14:textId="77777777" w:rsidR="000F6C44" w:rsidRPr="006930D1" w:rsidRDefault="000F6C44" w:rsidP="000F6C44">
      <w:pPr>
        <w:jc w:val="both"/>
        <w:rPr>
          <w:rFonts w:cs="Arial"/>
        </w:rPr>
      </w:pPr>
      <w:r w:rsidRPr="006930D1">
        <w:rPr>
          <w:rFonts w:cs="Arial"/>
        </w:rPr>
        <w:t>El seguimiento incluirá, entre otros, los siguientes aspectos:</w:t>
      </w:r>
    </w:p>
    <w:p w14:paraId="37FC12B5" w14:textId="77777777" w:rsidR="000C1C1B" w:rsidRPr="006930D1" w:rsidRDefault="000C1C1B" w:rsidP="000F6C44">
      <w:pPr>
        <w:jc w:val="both"/>
        <w:rPr>
          <w:rFonts w:cs="Arial"/>
        </w:rPr>
      </w:pPr>
    </w:p>
    <w:p w14:paraId="5C666B2A" w14:textId="77777777" w:rsidR="000F6C44" w:rsidRPr="006930D1" w:rsidRDefault="000F6C44" w:rsidP="000F6C44">
      <w:pPr>
        <w:pStyle w:val="Prrafodelista"/>
        <w:numPr>
          <w:ilvl w:val="0"/>
          <w:numId w:val="19"/>
        </w:numPr>
        <w:spacing w:after="160" w:line="259" w:lineRule="auto"/>
        <w:rPr>
          <w:rFonts w:ascii="Arial" w:hAnsi="Arial" w:cs="Arial"/>
          <w:sz w:val="24"/>
          <w:szCs w:val="24"/>
        </w:rPr>
      </w:pPr>
      <w:r w:rsidRPr="006930D1">
        <w:rPr>
          <w:rFonts w:ascii="Arial" w:hAnsi="Arial" w:cs="Arial"/>
          <w:sz w:val="24"/>
          <w:szCs w:val="24"/>
        </w:rPr>
        <w:t>Verificación del cumplimiento de las actividades definidas en el Plan Anual de Trabajo del SG-SST.</w:t>
      </w:r>
    </w:p>
    <w:p w14:paraId="602A1A0D" w14:textId="77777777" w:rsidR="000F6C44" w:rsidRPr="006930D1" w:rsidRDefault="000F6C44" w:rsidP="000F6C44">
      <w:pPr>
        <w:pStyle w:val="Prrafodelista"/>
        <w:numPr>
          <w:ilvl w:val="0"/>
          <w:numId w:val="19"/>
        </w:numPr>
        <w:spacing w:after="160" w:line="259" w:lineRule="auto"/>
        <w:rPr>
          <w:rFonts w:ascii="Arial" w:hAnsi="Arial" w:cs="Arial"/>
          <w:sz w:val="24"/>
          <w:szCs w:val="24"/>
        </w:rPr>
      </w:pPr>
      <w:r w:rsidRPr="006930D1">
        <w:rPr>
          <w:rFonts w:ascii="Arial" w:hAnsi="Arial" w:cs="Arial"/>
          <w:sz w:val="24"/>
          <w:szCs w:val="24"/>
        </w:rPr>
        <w:t>Seguimiento a los indicadores de gestión, con análisis de resultados y tendencias.</w:t>
      </w:r>
    </w:p>
    <w:p w14:paraId="4A363EDC" w14:textId="77777777" w:rsidR="000F6C44" w:rsidRPr="006930D1" w:rsidRDefault="000F6C44" w:rsidP="000F6C44">
      <w:pPr>
        <w:pStyle w:val="Prrafodelista"/>
        <w:numPr>
          <w:ilvl w:val="0"/>
          <w:numId w:val="19"/>
        </w:numPr>
        <w:spacing w:after="160" w:line="259" w:lineRule="auto"/>
        <w:rPr>
          <w:rFonts w:ascii="Arial" w:hAnsi="Arial" w:cs="Arial"/>
          <w:sz w:val="24"/>
          <w:szCs w:val="24"/>
        </w:rPr>
      </w:pPr>
      <w:r w:rsidRPr="006930D1">
        <w:rPr>
          <w:rFonts w:ascii="Arial" w:hAnsi="Arial" w:cs="Arial"/>
          <w:sz w:val="24"/>
          <w:szCs w:val="24"/>
        </w:rPr>
        <w:t>Revisión del cumplimiento de los requisitos legales aplicables en materia de Seguridad y Salud en el Trabajo.</w:t>
      </w:r>
    </w:p>
    <w:p w14:paraId="1E166B78" w14:textId="77777777" w:rsidR="000F6C44" w:rsidRPr="006930D1" w:rsidRDefault="000F6C44" w:rsidP="000F6C44">
      <w:pPr>
        <w:pStyle w:val="Prrafodelista"/>
        <w:numPr>
          <w:ilvl w:val="0"/>
          <w:numId w:val="19"/>
        </w:numPr>
        <w:spacing w:after="160" w:line="259" w:lineRule="auto"/>
        <w:rPr>
          <w:rFonts w:ascii="Arial" w:hAnsi="Arial" w:cs="Arial"/>
          <w:sz w:val="24"/>
          <w:szCs w:val="24"/>
        </w:rPr>
      </w:pPr>
      <w:r w:rsidRPr="006930D1">
        <w:rPr>
          <w:rFonts w:ascii="Arial" w:hAnsi="Arial" w:cs="Arial"/>
          <w:sz w:val="24"/>
          <w:szCs w:val="24"/>
        </w:rPr>
        <w:t>Seguimiento a las acciones correctivas, preventivas y de mejora derivadas de auditorías, investigaciones de accidentes, evaluaciones y revisiones.</w:t>
      </w:r>
    </w:p>
    <w:p w14:paraId="5D25A37F" w14:textId="77777777" w:rsidR="000F6C44" w:rsidRPr="006930D1" w:rsidRDefault="000F6C44" w:rsidP="000F6C44">
      <w:pPr>
        <w:pStyle w:val="Prrafodelista"/>
        <w:numPr>
          <w:ilvl w:val="0"/>
          <w:numId w:val="19"/>
        </w:numPr>
        <w:spacing w:after="160" w:line="259" w:lineRule="auto"/>
        <w:rPr>
          <w:rFonts w:ascii="Arial" w:hAnsi="Arial" w:cs="Arial"/>
          <w:sz w:val="24"/>
          <w:szCs w:val="24"/>
        </w:rPr>
      </w:pPr>
      <w:r w:rsidRPr="006930D1">
        <w:rPr>
          <w:rFonts w:ascii="Arial" w:hAnsi="Arial" w:cs="Arial"/>
          <w:sz w:val="24"/>
          <w:szCs w:val="24"/>
        </w:rPr>
        <w:t>Análisis de la accidentalidad laboral, el ausentismo y los eventos de salud relacionados con el trabajo.</w:t>
      </w:r>
    </w:p>
    <w:p w14:paraId="07FE353A" w14:textId="77777777" w:rsidR="000F6C44" w:rsidRPr="006930D1" w:rsidRDefault="000F6C44" w:rsidP="000F6C44">
      <w:pPr>
        <w:jc w:val="both"/>
        <w:rPr>
          <w:rFonts w:cs="Arial"/>
        </w:rPr>
      </w:pPr>
      <w:r w:rsidRPr="006930D1">
        <w:rPr>
          <w:rFonts w:cs="Arial"/>
        </w:rPr>
        <w:t xml:space="preserve">Los resultados del seguimiento serán presentados periódicamente a la alta dirección y a los comités del SG-SST (COPASST y Comité de Convivencia Laboral), y servirán como insumo para la </w:t>
      </w:r>
      <w:r w:rsidRPr="006930D1">
        <w:rPr>
          <w:rStyle w:val="Textoennegrita"/>
          <w:rFonts w:cs="Arial"/>
        </w:rPr>
        <w:t>revisión por la dirección</w:t>
      </w:r>
      <w:r w:rsidRPr="006930D1">
        <w:rPr>
          <w:rFonts w:cs="Arial"/>
        </w:rPr>
        <w:t>, la toma de decisiones y la definición de acciones orientadas al fortalecimiento y mejora continua del Sistema de Gestión de la Seguridad y Salud en el Trabajo.</w:t>
      </w:r>
    </w:p>
    <w:p w14:paraId="3E4CAFBD" w14:textId="77777777" w:rsidR="000F6C44" w:rsidRPr="006930D1" w:rsidRDefault="000F6C44" w:rsidP="000F6C44">
      <w:pPr>
        <w:jc w:val="both"/>
        <w:rPr>
          <w:rFonts w:cs="Arial"/>
          <w:b/>
        </w:rPr>
      </w:pPr>
    </w:p>
    <w:p w14:paraId="1EFEABF2" w14:textId="77777777" w:rsidR="000F6C44" w:rsidRPr="006930D1" w:rsidRDefault="000F6C44" w:rsidP="009D0606">
      <w:pPr>
        <w:pStyle w:val="Ttulo3"/>
        <w:rPr>
          <w:rFonts w:cs="Arial"/>
          <w:szCs w:val="24"/>
        </w:rPr>
      </w:pPr>
      <w:bookmarkStart w:id="13" w:name="_Toc220368152"/>
      <w:r w:rsidRPr="006930D1">
        <w:rPr>
          <w:rFonts w:cs="Arial"/>
          <w:szCs w:val="24"/>
        </w:rPr>
        <w:t>PLAN DE MEJORAMIENTO</w:t>
      </w:r>
      <w:bookmarkEnd w:id="13"/>
    </w:p>
    <w:p w14:paraId="2B1724ED" w14:textId="77777777" w:rsidR="000F6C44" w:rsidRPr="006930D1" w:rsidRDefault="000F6C44" w:rsidP="000F6C44">
      <w:pPr>
        <w:jc w:val="both"/>
        <w:rPr>
          <w:rFonts w:cs="Arial"/>
          <w:b/>
        </w:rPr>
      </w:pPr>
    </w:p>
    <w:p w14:paraId="31F072E9" w14:textId="77777777" w:rsidR="000F6C44" w:rsidRPr="006930D1" w:rsidRDefault="000F6C44" w:rsidP="000F6C44">
      <w:pPr>
        <w:jc w:val="both"/>
        <w:rPr>
          <w:rFonts w:cs="Arial"/>
        </w:rPr>
      </w:pPr>
      <w:r w:rsidRPr="006930D1">
        <w:rPr>
          <w:rFonts w:cs="Arial"/>
        </w:rPr>
        <w:t>El plan de mejoramiento debe incluir las acciones correctivas tendientes a la superación de las situaciones irregulares detectadas en la entidad y los todos los centros de trabajo, debe incluir actividades concretas a desarrollar y plazo determinado para su cumplimiento, personal responsable de cada una de las actividades de mejora.</w:t>
      </w:r>
    </w:p>
    <w:p w14:paraId="7075342D" w14:textId="77777777" w:rsidR="000F6C44" w:rsidRPr="006930D1" w:rsidRDefault="000F6C44" w:rsidP="000F6C44">
      <w:pPr>
        <w:rPr>
          <w:rFonts w:cs="Arial"/>
        </w:rPr>
      </w:pPr>
    </w:p>
    <w:p w14:paraId="5B5F92E3" w14:textId="77777777" w:rsidR="000F6C44" w:rsidRPr="006930D1" w:rsidRDefault="000F6C44" w:rsidP="009D0606">
      <w:pPr>
        <w:pStyle w:val="Ttulo3"/>
        <w:rPr>
          <w:rFonts w:cs="Arial"/>
          <w:szCs w:val="24"/>
        </w:rPr>
      </w:pPr>
      <w:bookmarkStart w:id="14" w:name="_Toc220368153"/>
      <w:r w:rsidRPr="006930D1">
        <w:rPr>
          <w:rFonts w:cs="Arial"/>
          <w:szCs w:val="24"/>
        </w:rPr>
        <w:lastRenderedPageBreak/>
        <w:t>ANEXOS</w:t>
      </w:r>
      <w:bookmarkEnd w:id="14"/>
    </w:p>
    <w:p w14:paraId="7C930812" w14:textId="77777777" w:rsidR="000F6C44" w:rsidRPr="006930D1" w:rsidRDefault="000F6C44" w:rsidP="000F6C44">
      <w:pPr>
        <w:rPr>
          <w:rFonts w:cs="Arial"/>
        </w:rPr>
      </w:pPr>
    </w:p>
    <w:p w14:paraId="2FA9932D" w14:textId="77777777" w:rsidR="000F6C44" w:rsidRPr="006930D1" w:rsidRDefault="000F6C44" w:rsidP="000F6C44">
      <w:pPr>
        <w:rPr>
          <w:rFonts w:cs="Arial"/>
        </w:rPr>
      </w:pPr>
      <w:r w:rsidRPr="006930D1">
        <w:rPr>
          <w:rFonts w:cs="Arial"/>
        </w:rPr>
        <w:t>Forman parte integral del presente Plan de Seguridad y Salud en el Trabajo – Vigencia 2026 los siguientes documentos:</w:t>
      </w:r>
    </w:p>
    <w:p w14:paraId="177FE9E9" w14:textId="77777777" w:rsidR="000C1C1B" w:rsidRPr="006930D1" w:rsidRDefault="000C1C1B" w:rsidP="000F6C44">
      <w:pPr>
        <w:rPr>
          <w:rFonts w:cs="Arial"/>
        </w:rPr>
      </w:pPr>
    </w:p>
    <w:p w14:paraId="213D4AD7" w14:textId="77777777" w:rsidR="000F6C44" w:rsidRPr="006930D1" w:rsidRDefault="000F6C44" w:rsidP="000F6C44">
      <w:pPr>
        <w:pStyle w:val="Prrafodelista"/>
        <w:numPr>
          <w:ilvl w:val="0"/>
          <w:numId w:val="20"/>
        </w:numPr>
        <w:spacing w:after="160" w:line="259" w:lineRule="auto"/>
        <w:jc w:val="left"/>
        <w:rPr>
          <w:rFonts w:ascii="Arial" w:hAnsi="Arial" w:cs="Arial"/>
          <w:sz w:val="24"/>
          <w:szCs w:val="24"/>
        </w:rPr>
      </w:pPr>
      <w:r w:rsidRPr="006930D1">
        <w:rPr>
          <w:rFonts w:ascii="Arial" w:hAnsi="Arial" w:cs="Arial"/>
          <w:sz w:val="24"/>
          <w:szCs w:val="24"/>
        </w:rPr>
        <w:t>Plan Anual de Trabajo del Sistema de Gestión de la Seguridad y Salud en el Trabajo – Vigencia 2026. (EXCEL)</w:t>
      </w:r>
    </w:p>
    <w:p w14:paraId="476CE09D" w14:textId="77777777" w:rsidR="000F6C44" w:rsidRPr="006930D1" w:rsidRDefault="000F6C44" w:rsidP="000F6C44">
      <w:pPr>
        <w:rPr>
          <w:rFonts w:cs="Arial"/>
        </w:rPr>
      </w:pPr>
    </w:p>
    <w:p w14:paraId="36F1BDF4" w14:textId="77777777" w:rsidR="000F6C44" w:rsidRPr="006930D1" w:rsidRDefault="000F6C44" w:rsidP="000F6C44">
      <w:pPr>
        <w:rPr>
          <w:rFonts w:cs="Arial"/>
        </w:rPr>
      </w:pPr>
    </w:p>
    <w:p w14:paraId="73110816" w14:textId="77777777" w:rsidR="000F6C44" w:rsidRPr="006930D1" w:rsidRDefault="000F6C44" w:rsidP="000F6C44">
      <w:pPr>
        <w:rPr>
          <w:rFonts w:cs="Arial"/>
        </w:rPr>
      </w:pPr>
      <w:r w:rsidRPr="006930D1">
        <w:rPr>
          <w:rStyle w:val="Textoennegrita"/>
          <w:rFonts w:cs="Arial"/>
        </w:rPr>
        <w:t>ELABORADO POR:</w:t>
      </w:r>
      <w:r w:rsidRPr="006930D1">
        <w:rPr>
          <w:rFonts w:cs="Arial"/>
        </w:rPr>
        <w:br/>
        <w:t>Equipo de Seguridad y Salud en el Trabajo</w:t>
      </w:r>
      <w:r w:rsidRPr="006930D1">
        <w:rPr>
          <w:rFonts w:cs="Arial"/>
        </w:rPr>
        <w:br/>
        <w:t>Departamento Administrativo de Fortalecimiento Institucional</w:t>
      </w:r>
    </w:p>
    <w:p w14:paraId="6F703B03" w14:textId="77777777" w:rsidR="000F6C44" w:rsidRPr="006930D1" w:rsidRDefault="000F6C44" w:rsidP="000F6C44">
      <w:pPr>
        <w:rPr>
          <w:rFonts w:cs="Arial"/>
        </w:rPr>
      </w:pPr>
      <w:r w:rsidRPr="006930D1">
        <w:rPr>
          <w:rStyle w:val="Textoennegrita"/>
          <w:rFonts w:cs="Arial"/>
        </w:rPr>
        <w:t>REVISADO POR:</w:t>
      </w:r>
      <w:r w:rsidRPr="006930D1">
        <w:rPr>
          <w:rFonts w:cs="Arial"/>
        </w:rPr>
        <w:br/>
        <w:t>Líder del Proceso de Talento Humano</w:t>
      </w:r>
    </w:p>
    <w:p w14:paraId="3F94C838" w14:textId="77777777" w:rsidR="000F6C44" w:rsidRPr="006930D1" w:rsidRDefault="000F6C44" w:rsidP="000F6C44">
      <w:pPr>
        <w:rPr>
          <w:rFonts w:cs="Arial"/>
        </w:rPr>
      </w:pPr>
      <w:r w:rsidRPr="006930D1">
        <w:rPr>
          <w:rStyle w:val="Textoennegrita"/>
          <w:rFonts w:cs="Arial"/>
        </w:rPr>
        <w:t>APROBADO POR:</w:t>
      </w:r>
      <w:r w:rsidRPr="006930D1">
        <w:rPr>
          <w:rFonts w:cs="Arial"/>
        </w:rPr>
        <w:br/>
        <w:t>Representante Legal</w:t>
      </w:r>
      <w:r w:rsidRPr="006930D1">
        <w:rPr>
          <w:rFonts w:cs="Arial"/>
        </w:rPr>
        <w:br/>
        <w:t>Administración Municipal de Armenia</w:t>
      </w:r>
    </w:p>
    <w:p w14:paraId="49D1D5FF" w14:textId="77777777" w:rsidR="00B221A5" w:rsidRDefault="00B221A5">
      <w:pPr>
        <w:autoSpaceDE w:val="0"/>
        <w:autoSpaceDN w:val="0"/>
        <w:adjustRightInd w:val="0"/>
        <w:spacing w:line="276" w:lineRule="auto"/>
        <w:jc w:val="both"/>
        <w:rPr>
          <w:rFonts w:eastAsia="Arial MT" w:cs="Arial"/>
          <w:lang w:val="es-ES"/>
        </w:rPr>
      </w:pPr>
    </w:p>
    <w:p w14:paraId="120B86AF" w14:textId="77777777" w:rsidR="000F6C44" w:rsidRDefault="000F6C44">
      <w:pPr>
        <w:autoSpaceDE w:val="0"/>
        <w:autoSpaceDN w:val="0"/>
        <w:adjustRightInd w:val="0"/>
        <w:spacing w:line="276" w:lineRule="auto"/>
        <w:jc w:val="both"/>
        <w:rPr>
          <w:rFonts w:eastAsia="Arial MT" w:cs="Arial"/>
          <w:lang w:val="es-ES"/>
        </w:rPr>
      </w:pPr>
    </w:p>
    <w:p w14:paraId="5F3AA264" w14:textId="77777777" w:rsidR="00B221A5" w:rsidRDefault="00B221A5" w:rsidP="009D0606">
      <w:pPr>
        <w:widowControl w:val="0"/>
        <w:autoSpaceDE w:val="0"/>
        <w:autoSpaceDN w:val="0"/>
        <w:jc w:val="both"/>
        <w:outlineLvl w:val="0"/>
        <w:rPr>
          <w:rFonts w:eastAsia="Arial" w:cs="Arial"/>
          <w:b/>
          <w:bCs/>
          <w:lang w:val="es-ES"/>
        </w:rPr>
      </w:pPr>
    </w:p>
    <w:p w14:paraId="6774C6B8" w14:textId="77777777" w:rsidR="00B221A5" w:rsidRDefault="00B221A5">
      <w:pPr>
        <w:widowControl w:val="0"/>
        <w:autoSpaceDE w:val="0"/>
        <w:autoSpaceDN w:val="0"/>
        <w:spacing w:before="4"/>
        <w:rPr>
          <w:rFonts w:eastAsia="Arial MT" w:cs="Arial"/>
          <w:b/>
          <w:lang w:val="es-ES"/>
        </w:rPr>
      </w:pPr>
    </w:p>
    <w:p w14:paraId="05F86C5F" w14:textId="77777777" w:rsidR="00B221A5" w:rsidRDefault="00B221A5">
      <w:pPr>
        <w:widowControl w:val="0"/>
        <w:autoSpaceDE w:val="0"/>
        <w:autoSpaceDN w:val="0"/>
        <w:ind w:left="709"/>
        <w:jc w:val="both"/>
        <w:rPr>
          <w:rFonts w:eastAsia="Arial MT" w:cs="Arial"/>
          <w:lang w:val="es-ES"/>
        </w:rPr>
      </w:pPr>
    </w:p>
    <w:p w14:paraId="26621EBA" w14:textId="77777777" w:rsidR="000F6C44" w:rsidRDefault="000F6C44">
      <w:pPr>
        <w:widowControl w:val="0"/>
        <w:autoSpaceDE w:val="0"/>
        <w:autoSpaceDN w:val="0"/>
        <w:ind w:left="709"/>
        <w:jc w:val="both"/>
        <w:rPr>
          <w:rFonts w:eastAsia="Arial MT" w:cs="Arial"/>
          <w:lang w:val="es-ES"/>
        </w:rPr>
      </w:pPr>
    </w:p>
    <w:p w14:paraId="1D41917A" w14:textId="77777777" w:rsidR="000F6C44" w:rsidRDefault="000F6C44">
      <w:pPr>
        <w:widowControl w:val="0"/>
        <w:autoSpaceDE w:val="0"/>
        <w:autoSpaceDN w:val="0"/>
        <w:ind w:left="709"/>
        <w:jc w:val="both"/>
        <w:rPr>
          <w:rFonts w:eastAsia="Arial MT" w:cs="Arial"/>
          <w:lang w:val="es-ES"/>
        </w:rPr>
      </w:pPr>
    </w:p>
    <w:tbl>
      <w:tblPr>
        <w:tblW w:w="5056" w:type="pct"/>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681"/>
        <w:gridCol w:w="3530"/>
        <w:gridCol w:w="2863"/>
      </w:tblGrid>
      <w:tr w:rsidR="00B221A5" w14:paraId="5C016B45" w14:textId="77777777">
        <w:trPr>
          <w:trHeight w:val="2890"/>
        </w:trPr>
        <w:tc>
          <w:tcPr>
            <w:tcW w:w="1827" w:type="pct"/>
            <w:tcBorders>
              <w:top w:val="single" w:sz="4" w:space="0" w:color="000000"/>
              <w:left w:val="single" w:sz="4" w:space="0" w:color="000000"/>
              <w:bottom w:val="single" w:sz="4" w:space="0" w:color="000000"/>
            </w:tcBorders>
            <w:shd w:val="clear" w:color="auto" w:fill="auto"/>
            <w:tcMar>
              <w:left w:w="65" w:type="dxa"/>
            </w:tcMar>
          </w:tcPr>
          <w:p w14:paraId="7776A8DE" w14:textId="77777777" w:rsidR="00B221A5" w:rsidRDefault="00B221A5" w:rsidP="006930D1">
            <w:pPr>
              <w:rPr>
                <w:rFonts w:eastAsia="Arial"/>
              </w:rPr>
            </w:pPr>
          </w:p>
          <w:p w14:paraId="1E394BA7" w14:textId="77777777" w:rsidR="00B221A5" w:rsidRDefault="00056F2E">
            <w:pPr>
              <w:jc w:val="center"/>
              <w:rPr>
                <w:rFonts w:eastAsia="Arial" w:cs="Arial"/>
              </w:rPr>
            </w:pPr>
            <w:r>
              <w:rPr>
                <w:rFonts w:eastAsia="Arial" w:cs="Arial"/>
              </w:rPr>
              <w:t>Elaborado por:</w:t>
            </w:r>
          </w:p>
          <w:p w14:paraId="17181B04" w14:textId="77777777" w:rsidR="00B221A5" w:rsidRDefault="00B221A5">
            <w:pPr>
              <w:pStyle w:val="LO-normal"/>
              <w:widowControl w:val="0"/>
              <w:spacing w:after="0" w:line="240" w:lineRule="auto"/>
              <w:jc w:val="center"/>
              <w:rPr>
                <w:rFonts w:ascii="Arial" w:eastAsia="Arial" w:hAnsi="Arial" w:cs="Arial"/>
                <w:color w:val="000000"/>
              </w:rPr>
            </w:pPr>
          </w:p>
          <w:p w14:paraId="12D117A9" w14:textId="77777777" w:rsidR="00B221A5" w:rsidRDefault="00B221A5">
            <w:pPr>
              <w:pStyle w:val="LO-normal"/>
              <w:widowControl w:val="0"/>
              <w:spacing w:after="0" w:line="240" w:lineRule="auto"/>
              <w:jc w:val="center"/>
              <w:rPr>
                <w:rFonts w:ascii="Arial" w:eastAsia="Arial" w:hAnsi="Arial" w:cs="Arial"/>
                <w:color w:val="000000"/>
              </w:rPr>
            </w:pPr>
          </w:p>
          <w:p w14:paraId="7A857280" w14:textId="77777777" w:rsidR="00B221A5" w:rsidRDefault="00056F2E">
            <w:pPr>
              <w:pStyle w:val="LO-normal"/>
              <w:widowControl w:val="0"/>
              <w:spacing w:after="0" w:line="240" w:lineRule="auto"/>
              <w:jc w:val="center"/>
              <w:rPr>
                <w:rFonts w:ascii="Arial" w:hAnsi="Arial" w:cs="Arial"/>
              </w:rPr>
            </w:pPr>
            <w:r>
              <w:rPr>
                <w:rFonts w:ascii="Arial" w:eastAsia="Arial" w:hAnsi="Arial" w:cs="Arial"/>
                <w:color w:val="000000"/>
              </w:rPr>
              <w:t>Departamento Administrativo de Fortalecimiento Institucional</w:t>
            </w:r>
          </w:p>
        </w:tc>
        <w:tc>
          <w:tcPr>
            <w:tcW w:w="1752" w:type="pct"/>
            <w:tcBorders>
              <w:top w:val="single" w:sz="4" w:space="0" w:color="000000"/>
              <w:left w:val="single" w:sz="4" w:space="0" w:color="000000"/>
              <w:bottom w:val="single" w:sz="4" w:space="0" w:color="000000"/>
            </w:tcBorders>
            <w:shd w:val="clear" w:color="auto" w:fill="auto"/>
            <w:tcMar>
              <w:left w:w="65" w:type="dxa"/>
            </w:tcMar>
          </w:tcPr>
          <w:p w14:paraId="6C869CF9" w14:textId="77777777" w:rsidR="00B221A5" w:rsidRDefault="00B221A5">
            <w:pPr>
              <w:pStyle w:val="LO-normal"/>
              <w:widowControl w:val="0"/>
              <w:spacing w:after="0" w:line="240" w:lineRule="auto"/>
              <w:jc w:val="center"/>
              <w:rPr>
                <w:rFonts w:ascii="Arial" w:eastAsia="Arial" w:hAnsi="Arial" w:cs="Arial"/>
                <w:color w:val="000000"/>
                <w:sz w:val="12"/>
                <w:szCs w:val="12"/>
              </w:rPr>
            </w:pPr>
          </w:p>
          <w:p w14:paraId="0340DBB2" w14:textId="77777777" w:rsidR="00B221A5" w:rsidRDefault="00B221A5">
            <w:pPr>
              <w:pStyle w:val="LO-normal"/>
              <w:widowControl w:val="0"/>
              <w:spacing w:after="0" w:line="240" w:lineRule="auto"/>
              <w:jc w:val="center"/>
              <w:rPr>
                <w:rFonts w:ascii="Arial" w:eastAsia="Arial" w:hAnsi="Arial" w:cs="Arial"/>
                <w:color w:val="000000"/>
              </w:rPr>
            </w:pPr>
          </w:p>
          <w:p w14:paraId="6A38EA0B" w14:textId="77777777" w:rsidR="00B221A5" w:rsidRDefault="00056F2E">
            <w:pPr>
              <w:pStyle w:val="LO-normal"/>
              <w:widowControl w:val="0"/>
              <w:spacing w:after="0" w:line="240" w:lineRule="auto"/>
              <w:jc w:val="center"/>
              <w:rPr>
                <w:rFonts w:ascii="Arial" w:eastAsia="Arial" w:hAnsi="Arial" w:cs="Arial"/>
                <w:color w:val="000000"/>
              </w:rPr>
            </w:pPr>
            <w:r>
              <w:rPr>
                <w:rFonts w:ascii="Arial" w:eastAsia="Arial" w:hAnsi="Arial" w:cs="Arial"/>
                <w:color w:val="000000"/>
              </w:rPr>
              <w:t>Revisado por:</w:t>
            </w:r>
          </w:p>
          <w:p w14:paraId="2477928C" w14:textId="77777777" w:rsidR="00B221A5" w:rsidRDefault="00B221A5">
            <w:pPr>
              <w:pStyle w:val="LO-normal"/>
              <w:widowControl w:val="0"/>
              <w:spacing w:after="0" w:line="240" w:lineRule="auto"/>
              <w:jc w:val="center"/>
              <w:rPr>
                <w:rFonts w:ascii="Arial" w:eastAsia="Arial" w:hAnsi="Arial" w:cs="Arial"/>
                <w:color w:val="000000"/>
                <w:sz w:val="10"/>
                <w:szCs w:val="10"/>
              </w:rPr>
            </w:pPr>
          </w:p>
          <w:p w14:paraId="1A3DDA94" w14:textId="77777777" w:rsidR="00B221A5" w:rsidRDefault="00B221A5">
            <w:pPr>
              <w:pStyle w:val="LO-normal"/>
              <w:widowControl w:val="0"/>
              <w:spacing w:after="0" w:line="240" w:lineRule="auto"/>
              <w:jc w:val="center"/>
              <w:rPr>
                <w:rFonts w:ascii="Arial" w:eastAsia="Arial" w:hAnsi="Arial" w:cs="Arial"/>
                <w:color w:val="000000"/>
                <w:sz w:val="10"/>
                <w:szCs w:val="10"/>
              </w:rPr>
            </w:pPr>
          </w:p>
          <w:p w14:paraId="51F731D0" w14:textId="5CA7B662" w:rsidR="000F6C44" w:rsidRDefault="00182A8F">
            <w:pPr>
              <w:pStyle w:val="LO-normal"/>
              <w:widowControl w:val="0"/>
              <w:spacing w:after="0" w:line="240" w:lineRule="auto"/>
              <w:jc w:val="center"/>
              <w:rPr>
                <w:rFonts w:ascii="Arial" w:eastAsia="Arial" w:hAnsi="Arial" w:cs="Arial"/>
                <w:color w:val="000000"/>
              </w:rPr>
            </w:pPr>
            <w:r w:rsidRPr="00182A8F">
              <w:rPr>
                <w:rFonts w:ascii="Arial" w:eastAsia="Arial" w:hAnsi="Arial" w:cs="Arial"/>
                <w:color w:val="000000"/>
              </w:rPr>
              <w:t>Lina Paola Hernández Jaramillo</w:t>
            </w:r>
          </w:p>
          <w:p w14:paraId="133ECE6F" w14:textId="77777777" w:rsidR="00B221A5" w:rsidRDefault="00056F2E">
            <w:pPr>
              <w:pStyle w:val="LO-normal"/>
              <w:widowControl w:val="0"/>
              <w:spacing w:after="0" w:line="240" w:lineRule="auto"/>
              <w:jc w:val="center"/>
              <w:rPr>
                <w:rFonts w:ascii="Arial" w:eastAsia="Arial" w:hAnsi="Arial" w:cs="Arial"/>
                <w:color w:val="000000"/>
              </w:rPr>
            </w:pPr>
            <w:r>
              <w:rPr>
                <w:rFonts w:ascii="Arial" w:eastAsia="Arial" w:hAnsi="Arial" w:cs="Arial"/>
                <w:color w:val="000000"/>
              </w:rPr>
              <w:t>Líder del Proceso</w:t>
            </w:r>
          </w:p>
          <w:p w14:paraId="6B8231F1" w14:textId="77777777" w:rsidR="000F6C44" w:rsidRDefault="000F6C44">
            <w:pPr>
              <w:pStyle w:val="LO-normal"/>
              <w:widowControl w:val="0"/>
              <w:spacing w:after="0" w:line="240" w:lineRule="auto"/>
              <w:jc w:val="center"/>
              <w:rPr>
                <w:rFonts w:ascii="Arial" w:eastAsia="Arial" w:hAnsi="Arial" w:cs="Arial"/>
                <w:color w:val="000000"/>
              </w:rPr>
            </w:pPr>
          </w:p>
          <w:p w14:paraId="7CC2DE89" w14:textId="77777777" w:rsidR="00B221A5" w:rsidRDefault="00B221A5">
            <w:pPr>
              <w:pStyle w:val="LO-normal"/>
              <w:widowControl w:val="0"/>
              <w:spacing w:after="0" w:line="240" w:lineRule="auto"/>
              <w:jc w:val="center"/>
              <w:rPr>
                <w:rFonts w:ascii="Arial" w:eastAsia="Arial" w:hAnsi="Arial" w:cs="Arial"/>
                <w:color w:val="000000"/>
                <w:sz w:val="10"/>
                <w:szCs w:val="10"/>
              </w:rPr>
            </w:pPr>
          </w:p>
          <w:p w14:paraId="5AE034DD" w14:textId="77777777" w:rsidR="00B221A5" w:rsidRDefault="00056F2E">
            <w:pPr>
              <w:pStyle w:val="LO-normal"/>
              <w:widowControl w:val="0"/>
              <w:spacing w:after="0" w:line="240" w:lineRule="auto"/>
              <w:jc w:val="center"/>
              <w:rPr>
                <w:rFonts w:ascii="Arial" w:eastAsia="Arial" w:hAnsi="Arial" w:cs="Arial"/>
              </w:rPr>
            </w:pPr>
            <w:r>
              <w:rPr>
                <w:rFonts w:ascii="Arial" w:eastAsia="Arial" w:hAnsi="Arial" w:cs="Arial"/>
                <w:color w:val="000000"/>
              </w:rPr>
              <w:t xml:space="preserve">Presidente </w:t>
            </w:r>
            <w:r>
              <w:rPr>
                <w:rFonts w:ascii="Arial" w:eastAsia="Arial" w:hAnsi="Arial" w:cs="Arial"/>
              </w:rPr>
              <w:t>Comité Institucional de Gestión y Desempeño</w:t>
            </w:r>
            <w:r>
              <w:rPr>
                <w:rFonts w:ascii="Arial" w:eastAsia="Arial" w:hAnsi="Arial" w:cs="Arial"/>
                <w:color w:val="000000"/>
              </w:rPr>
              <w:t xml:space="preserve"> </w:t>
            </w:r>
          </w:p>
        </w:tc>
        <w:tc>
          <w:tcPr>
            <w:tcW w:w="1421" w:type="pct"/>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658EF4E" w14:textId="77777777" w:rsidR="00B221A5" w:rsidRDefault="00B221A5">
            <w:pPr>
              <w:pStyle w:val="LO-normal"/>
              <w:widowControl w:val="0"/>
              <w:spacing w:after="0" w:line="240" w:lineRule="auto"/>
              <w:jc w:val="center"/>
              <w:rPr>
                <w:rFonts w:ascii="Arial" w:eastAsia="Arial" w:hAnsi="Arial" w:cs="Arial"/>
                <w:color w:val="000000"/>
                <w:sz w:val="14"/>
                <w:szCs w:val="14"/>
              </w:rPr>
            </w:pPr>
          </w:p>
          <w:p w14:paraId="7CE16830" w14:textId="77777777" w:rsidR="00B221A5" w:rsidRDefault="00B221A5">
            <w:pPr>
              <w:pStyle w:val="LO-normal"/>
              <w:widowControl w:val="0"/>
              <w:spacing w:after="0" w:line="240" w:lineRule="auto"/>
              <w:jc w:val="center"/>
              <w:rPr>
                <w:rFonts w:ascii="Arial" w:eastAsia="Arial" w:hAnsi="Arial" w:cs="Arial"/>
                <w:color w:val="000000"/>
              </w:rPr>
            </w:pPr>
          </w:p>
          <w:p w14:paraId="6E66E602" w14:textId="77777777" w:rsidR="00B221A5" w:rsidRDefault="00056F2E">
            <w:pPr>
              <w:pStyle w:val="LO-normal"/>
              <w:widowControl w:val="0"/>
              <w:spacing w:after="0" w:line="240" w:lineRule="auto"/>
              <w:jc w:val="center"/>
              <w:rPr>
                <w:rFonts w:ascii="Arial" w:eastAsia="Arial" w:hAnsi="Arial" w:cs="Arial"/>
                <w:color w:val="000000"/>
              </w:rPr>
            </w:pPr>
            <w:r>
              <w:rPr>
                <w:rFonts w:ascii="Arial" w:eastAsia="Arial" w:hAnsi="Arial" w:cs="Arial"/>
                <w:color w:val="000000"/>
              </w:rPr>
              <w:t>Aprobado por:</w:t>
            </w:r>
          </w:p>
          <w:p w14:paraId="7C92BC34" w14:textId="77777777" w:rsidR="00B221A5" w:rsidRDefault="00B221A5">
            <w:pPr>
              <w:pStyle w:val="LO-normal"/>
              <w:widowControl w:val="0"/>
              <w:spacing w:after="0" w:line="240" w:lineRule="auto"/>
              <w:jc w:val="center"/>
              <w:rPr>
                <w:rFonts w:ascii="Arial" w:eastAsia="Arial" w:hAnsi="Arial" w:cs="Arial"/>
                <w:color w:val="000000"/>
              </w:rPr>
            </w:pPr>
          </w:p>
          <w:p w14:paraId="244B233C" w14:textId="77777777" w:rsidR="00B221A5" w:rsidRDefault="00B221A5">
            <w:pPr>
              <w:pStyle w:val="LO-normal"/>
              <w:widowControl w:val="0"/>
              <w:spacing w:after="0" w:line="240" w:lineRule="auto"/>
              <w:jc w:val="center"/>
              <w:rPr>
                <w:rFonts w:ascii="Arial" w:eastAsia="Arial" w:hAnsi="Arial" w:cs="Arial"/>
                <w:color w:val="000000"/>
                <w:sz w:val="10"/>
                <w:szCs w:val="10"/>
              </w:rPr>
            </w:pPr>
          </w:p>
          <w:p w14:paraId="71937083" w14:textId="77777777" w:rsidR="00B221A5" w:rsidRDefault="00056F2E">
            <w:pPr>
              <w:pStyle w:val="LO-normal"/>
              <w:widowControl w:val="0"/>
              <w:spacing w:after="0" w:line="240" w:lineRule="auto"/>
              <w:jc w:val="center"/>
              <w:rPr>
                <w:rFonts w:ascii="Arial" w:eastAsia="Arial" w:hAnsi="Arial" w:cs="Arial"/>
                <w:color w:val="000000"/>
              </w:rPr>
            </w:pPr>
            <w:r>
              <w:rPr>
                <w:rFonts w:ascii="Arial" w:eastAsia="Arial" w:hAnsi="Arial" w:cs="Arial"/>
                <w:color w:val="000000"/>
              </w:rPr>
              <w:t>Comité Operativo</w:t>
            </w:r>
          </w:p>
          <w:p w14:paraId="405048E0" w14:textId="77777777" w:rsidR="00B221A5" w:rsidRDefault="00B221A5">
            <w:pPr>
              <w:pStyle w:val="LO-normal"/>
              <w:widowControl w:val="0"/>
              <w:spacing w:after="0" w:line="240" w:lineRule="auto"/>
              <w:jc w:val="center"/>
              <w:rPr>
                <w:rFonts w:ascii="Arial" w:eastAsia="Arial" w:hAnsi="Arial" w:cs="Arial"/>
                <w:color w:val="000000"/>
              </w:rPr>
            </w:pPr>
          </w:p>
          <w:p w14:paraId="630899CE" w14:textId="77777777" w:rsidR="00B221A5" w:rsidRDefault="00056F2E">
            <w:pPr>
              <w:jc w:val="center"/>
              <w:rPr>
                <w:rFonts w:eastAsia="Arial" w:cs="Arial"/>
              </w:rPr>
            </w:pPr>
            <w:r>
              <w:rPr>
                <w:rFonts w:eastAsia="Arial" w:cs="Arial"/>
              </w:rPr>
              <w:t>Comité Institucional de Gestión y Desempeño</w:t>
            </w:r>
          </w:p>
        </w:tc>
      </w:tr>
    </w:tbl>
    <w:p w14:paraId="3D7D2470" w14:textId="77777777" w:rsidR="00B221A5" w:rsidRDefault="00B221A5"/>
    <w:sectPr w:rsidR="00B221A5" w:rsidSect="00182A8F">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56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5AB26" w14:textId="77777777" w:rsidR="00056F2E" w:rsidRDefault="00056F2E">
      <w:r>
        <w:separator/>
      </w:r>
    </w:p>
  </w:endnote>
  <w:endnote w:type="continuationSeparator" w:id="0">
    <w:p w14:paraId="6FE2285D" w14:textId="77777777" w:rsidR="00056F2E" w:rsidRDefault="0005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default"/>
    <w:sig w:usb0="00000000" w:usb1="00000000"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inos">
    <w:altName w:val="Times New Roman"/>
    <w:charset w:val="00"/>
    <w:family w:val="auto"/>
    <w:pitch w:val="default"/>
    <w:sig w:usb0="00000000" w:usb1="00000000" w:usb2="00000029" w:usb3="00000000" w:csb0="600001BF" w:csb1="DFF7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B22B" w14:textId="77777777" w:rsidR="00182A8F" w:rsidRDefault="00182A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725D" w14:textId="77777777" w:rsidR="00B221A5" w:rsidRDefault="00056F2E">
    <w:pPr>
      <w:jc w:val="center"/>
      <w:rPr>
        <w:rFonts w:cs="Arial"/>
        <w:color w:val="000000"/>
        <w:sz w:val="20"/>
      </w:rPr>
    </w:pPr>
    <w:r>
      <w:rPr>
        <w:rFonts w:cs="Arial"/>
        <w:color w:val="000000"/>
        <w:sz w:val="20"/>
      </w:rPr>
      <w:t>___________________________________________________________</w:t>
    </w:r>
  </w:p>
  <w:p w14:paraId="218D32E5" w14:textId="77777777" w:rsidR="00182A8F" w:rsidRDefault="00056F2E">
    <w:pPr>
      <w:jc w:val="center"/>
      <w:rPr>
        <w:rFonts w:cs="Arial"/>
        <w:color w:val="000000"/>
        <w:sz w:val="18"/>
        <w:szCs w:val="18"/>
      </w:rPr>
    </w:pPr>
    <w:r>
      <w:rPr>
        <w:rFonts w:cs="Arial"/>
        <w:color w:val="000000"/>
        <w:sz w:val="18"/>
        <w:szCs w:val="18"/>
      </w:rPr>
      <w:t xml:space="preserve">Cr 16 No. 15-28, Armenia Quindío – CAM Piso Ppal. – Código Postal.630004 </w:t>
    </w:r>
  </w:p>
  <w:p w14:paraId="24775126" w14:textId="3FF47DDC" w:rsidR="00B221A5" w:rsidRDefault="00056F2E">
    <w:pPr>
      <w:jc w:val="center"/>
      <w:rPr>
        <w:rFonts w:cs="Arial"/>
        <w:color w:val="000000"/>
        <w:sz w:val="18"/>
        <w:szCs w:val="18"/>
      </w:rPr>
    </w:pPr>
    <w:r>
      <w:rPr>
        <w:rFonts w:cs="Arial"/>
        <w:color w:val="000000"/>
        <w:sz w:val="18"/>
        <w:szCs w:val="18"/>
      </w:rPr>
      <w:t>Correo Electrónico: fortalecimiento@armenia.gov.co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FEE1" w14:textId="77777777" w:rsidR="00182A8F" w:rsidRDefault="00182A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BA586" w14:textId="77777777" w:rsidR="00056F2E" w:rsidRDefault="00056F2E">
      <w:r>
        <w:separator/>
      </w:r>
    </w:p>
  </w:footnote>
  <w:footnote w:type="continuationSeparator" w:id="0">
    <w:p w14:paraId="41F1A2B1" w14:textId="77777777" w:rsidR="00056F2E" w:rsidRDefault="00056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D157" w14:textId="77777777" w:rsidR="00182A8F" w:rsidRDefault="00182A8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466"/>
      <w:gridCol w:w="6153"/>
      <w:gridCol w:w="2343"/>
    </w:tblGrid>
    <w:tr w:rsidR="00B221A5" w14:paraId="17CCCD5F" w14:textId="77777777">
      <w:trPr>
        <w:trHeight w:val="397"/>
      </w:trPr>
      <w:tc>
        <w:tcPr>
          <w:tcW w:w="736" w:type="pct"/>
          <w:vMerge w:val="restart"/>
          <w:tcBorders>
            <w:top w:val="single" w:sz="4" w:space="0" w:color="000000"/>
            <w:left w:val="single" w:sz="4" w:space="0" w:color="000000"/>
            <w:bottom w:val="single" w:sz="4" w:space="0" w:color="000000"/>
          </w:tcBorders>
          <w:vAlign w:val="center"/>
        </w:tcPr>
        <w:p w14:paraId="2C79CAB5" w14:textId="77777777" w:rsidR="00B221A5" w:rsidRDefault="00056F2E">
          <w:pPr>
            <w:jc w:val="center"/>
            <w:rPr>
              <w:rFonts w:eastAsia="Arial Unicode MS" w:cs="Arial"/>
              <w:b/>
            </w:rPr>
          </w:pPr>
          <w:r>
            <w:rPr>
              <w:rFonts w:cs="Arial"/>
              <w:b/>
              <w:noProof/>
            </w:rPr>
            <w:drawing>
              <wp:inline distT="0" distB="0" distL="0" distR="0" wp14:anchorId="16C5ED3D" wp14:editId="422AE865">
                <wp:extent cx="600075" cy="6858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0075" cy="685800"/>
                        </a:xfrm>
                        <a:prstGeom prst="rect">
                          <a:avLst/>
                        </a:prstGeom>
                        <a:solidFill>
                          <a:srgbClr val="FFFFFF">
                            <a:alpha val="0"/>
                          </a:srgbClr>
                        </a:solidFill>
                        <a:ln>
                          <a:noFill/>
                        </a:ln>
                      </pic:spPr>
                    </pic:pic>
                  </a:graphicData>
                </a:graphic>
              </wp:inline>
            </w:drawing>
          </w:r>
        </w:p>
      </w:tc>
      <w:tc>
        <w:tcPr>
          <w:tcW w:w="3088" w:type="pct"/>
          <w:vMerge w:val="restart"/>
          <w:tcBorders>
            <w:top w:val="single" w:sz="4" w:space="0" w:color="000000"/>
            <w:left w:val="single" w:sz="4" w:space="0" w:color="000000"/>
            <w:bottom w:val="single" w:sz="4" w:space="0" w:color="000000"/>
          </w:tcBorders>
          <w:vAlign w:val="center"/>
        </w:tcPr>
        <w:p w14:paraId="57623F0B" w14:textId="77777777" w:rsidR="00B221A5" w:rsidRDefault="00056F2E">
          <w:pPr>
            <w:ind w:left="-28" w:firstLine="28"/>
            <w:jc w:val="center"/>
            <w:rPr>
              <w:rFonts w:eastAsia="Arial Unicode MS" w:cs="Arial"/>
              <w:b/>
            </w:rPr>
          </w:pPr>
          <w:r>
            <w:rPr>
              <w:rFonts w:eastAsia="Arial Unicode MS" w:cs="Arial"/>
              <w:b/>
            </w:rPr>
            <w:t>PLAN ANUAL DE SALUD Y SEGURIDAD EN EL TRABAJO</w:t>
          </w:r>
        </w:p>
        <w:p w14:paraId="6F197929" w14:textId="77777777" w:rsidR="00B221A5" w:rsidRDefault="00B221A5">
          <w:pPr>
            <w:ind w:left="-28" w:firstLine="28"/>
            <w:jc w:val="center"/>
            <w:rPr>
              <w:rFonts w:eastAsia="Arial Unicode MS" w:cs="Arial"/>
              <w:sz w:val="16"/>
            </w:rPr>
          </w:pPr>
        </w:p>
        <w:p w14:paraId="3F4A16E0" w14:textId="77777777" w:rsidR="00B221A5" w:rsidRDefault="00056F2E">
          <w:pPr>
            <w:jc w:val="center"/>
            <w:rPr>
              <w:rFonts w:cs="Arial"/>
              <w:bCs/>
              <w:sz w:val="20"/>
              <w:lang w:val="es-MX"/>
            </w:rPr>
          </w:pPr>
          <w:r>
            <w:rPr>
              <w:rFonts w:cs="Arial"/>
              <w:bCs/>
              <w:sz w:val="20"/>
              <w:lang w:val="es-MX"/>
            </w:rPr>
            <w:t>Departamento Administrativo de Fortalecimiento Institucional</w:t>
          </w:r>
        </w:p>
        <w:p w14:paraId="185C6851" w14:textId="77777777" w:rsidR="00B221A5" w:rsidRDefault="00056F2E">
          <w:pPr>
            <w:ind w:left="-28" w:firstLine="28"/>
            <w:jc w:val="center"/>
            <w:rPr>
              <w:rFonts w:eastAsia="Arial" w:cs="Arial"/>
              <w:sz w:val="20"/>
              <w:szCs w:val="20"/>
            </w:rPr>
          </w:pPr>
          <w:r>
            <w:rPr>
              <w:rFonts w:cs="Arial"/>
              <w:bCs/>
              <w:sz w:val="20"/>
              <w:lang w:val="es-MX"/>
            </w:rPr>
            <w:t>Proceso 12. Talento Humano</w:t>
          </w:r>
        </w:p>
      </w:tc>
      <w:tc>
        <w:tcPr>
          <w:tcW w:w="1176" w:type="pct"/>
          <w:tcBorders>
            <w:top w:val="single" w:sz="4" w:space="0" w:color="000000"/>
            <w:left w:val="single" w:sz="4" w:space="0" w:color="000000"/>
            <w:bottom w:val="single" w:sz="4" w:space="0" w:color="000000"/>
            <w:right w:val="single" w:sz="4" w:space="0" w:color="000000"/>
          </w:tcBorders>
          <w:vAlign w:val="center"/>
        </w:tcPr>
        <w:p w14:paraId="2C1AB635" w14:textId="77777777" w:rsidR="00B221A5" w:rsidRDefault="00056F2E">
          <w:pPr>
            <w:rPr>
              <w:rFonts w:eastAsia="Arial Unicode MS" w:cs="Arial"/>
              <w:b/>
              <w:sz w:val="20"/>
              <w:szCs w:val="20"/>
            </w:rPr>
          </w:pPr>
          <w:r>
            <w:rPr>
              <w:rFonts w:eastAsia="Arial" w:cs="Arial"/>
              <w:sz w:val="20"/>
              <w:szCs w:val="20"/>
            </w:rPr>
            <w:t xml:space="preserve">  </w:t>
          </w:r>
          <w:r>
            <w:rPr>
              <w:rFonts w:cs="Arial"/>
              <w:sz w:val="20"/>
              <w:szCs w:val="20"/>
            </w:rPr>
            <w:t xml:space="preserve">Código: </w:t>
          </w:r>
          <w:r>
            <w:rPr>
              <w:rFonts w:cs="Arial"/>
              <w:sz w:val="20"/>
              <w:szCs w:val="20"/>
              <w:lang w:val="en-US"/>
            </w:rPr>
            <w:t>I-DF-PTH-018</w:t>
          </w:r>
        </w:p>
      </w:tc>
    </w:tr>
    <w:tr w:rsidR="00B221A5" w14:paraId="5AEFFCC3" w14:textId="77777777">
      <w:trPr>
        <w:trHeight w:val="397"/>
      </w:trPr>
      <w:tc>
        <w:tcPr>
          <w:tcW w:w="736" w:type="pct"/>
          <w:vMerge/>
          <w:tcBorders>
            <w:top w:val="single" w:sz="4" w:space="0" w:color="000000"/>
            <w:left w:val="single" w:sz="4" w:space="0" w:color="000000"/>
            <w:bottom w:val="single" w:sz="4" w:space="0" w:color="000000"/>
          </w:tcBorders>
          <w:vAlign w:val="center"/>
        </w:tcPr>
        <w:p w14:paraId="26EF7F3E" w14:textId="77777777" w:rsidR="00B221A5" w:rsidRDefault="00B221A5">
          <w:pPr>
            <w:snapToGrid w:val="0"/>
            <w:rPr>
              <w:rFonts w:eastAsia="Arial Unicode MS" w:cs="Arial"/>
              <w:b/>
              <w:sz w:val="14"/>
              <w:szCs w:val="20"/>
            </w:rPr>
          </w:pPr>
        </w:p>
      </w:tc>
      <w:tc>
        <w:tcPr>
          <w:tcW w:w="3088" w:type="pct"/>
          <w:vMerge/>
          <w:tcBorders>
            <w:top w:val="single" w:sz="4" w:space="0" w:color="000000"/>
            <w:left w:val="single" w:sz="4" w:space="0" w:color="000000"/>
            <w:bottom w:val="single" w:sz="4" w:space="0" w:color="000000"/>
          </w:tcBorders>
          <w:vAlign w:val="center"/>
        </w:tcPr>
        <w:p w14:paraId="4CF13D2C" w14:textId="77777777" w:rsidR="00B221A5" w:rsidRDefault="00B221A5">
          <w:pPr>
            <w:snapToGrid w:val="0"/>
            <w:ind w:left="-28" w:firstLine="28"/>
            <w:jc w:val="center"/>
            <w:rPr>
              <w:rFonts w:eastAsia="Arial Unicode MS" w:cs="Arial"/>
              <w:b/>
              <w:sz w:val="20"/>
              <w:szCs w:val="20"/>
            </w:rPr>
          </w:pPr>
        </w:p>
      </w:tc>
      <w:tc>
        <w:tcPr>
          <w:tcW w:w="1176" w:type="pct"/>
          <w:tcBorders>
            <w:top w:val="single" w:sz="4" w:space="0" w:color="000000"/>
            <w:left w:val="single" w:sz="4" w:space="0" w:color="000000"/>
            <w:bottom w:val="single" w:sz="4" w:space="0" w:color="000000"/>
            <w:right w:val="single" w:sz="4" w:space="0" w:color="000000"/>
          </w:tcBorders>
          <w:vAlign w:val="center"/>
        </w:tcPr>
        <w:p w14:paraId="5DC49E0B" w14:textId="354EB074" w:rsidR="00B221A5" w:rsidRDefault="00056F2E">
          <w:pPr>
            <w:rPr>
              <w:rFonts w:eastAsia="Arial Unicode MS" w:cs="Arial"/>
              <w:b/>
              <w:sz w:val="20"/>
              <w:szCs w:val="20"/>
            </w:rPr>
          </w:pPr>
          <w:r>
            <w:rPr>
              <w:rFonts w:eastAsia="Arial" w:cs="Arial"/>
              <w:sz w:val="20"/>
              <w:szCs w:val="20"/>
            </w:rPr>
            <w:t xml:space="preserve">  </w:t>
          </w:r>
          <w:r>
            <w:rPr>
              <w:rFonts w:cs="Arial"/>
              <w:sz w:val="20"/>
              <w:szCs w:val="20"/>
            </w:rPr>
            <w:t xml:space="preserve">Fecha: </w:t>
          </w:r>
          <w:r w:rsidR="00182A8F" w:rsidRPr="00182A8F">
            <w:rPr>
              <w:rFonts w:cs="Arial"/>
              <w:sz w:val="20"/>
              <w:szCs w:val="20"/>
            </w:rPr>
            <w:t>30/01/2026</w:t>
          </w:r>
        </w:p>
      </w:tc>
    </w:tr>
    <w:tr w:rsidR="00B221A5" w14:paraId="05A97B53" w14:textId="77777777">
      <w:trPr>
        <w:trHeight w:val="397"/>
      </w:trPr>
      <w:tc>
        <w:tcPr>
          <w:tcW w:w="736" w:type="pct"/>
          <w:vMerge/>
          <w:tcBorders>
            <w:top w:val="single" w:sz="4" w:space="0" w:color="000000"/>
            <w:left w:val="single" w:sz="4" w:space="0" w:color="000000"/>
            <w:bottom w:val="single" w:sz="4" w:space="0" w:color="000000"/>
          </w:tcBorders>
          <w:vAlign w:val="center"/>
        </w:tcPr>
        <w:p w14:paraId="43C0ACD7" w14:textId="77777777" w:rsidR="00B221A5" w:rsidRDefault="00B221A5">
          <w:pPr>
            <w:snapToGrid w:val="0"/>
            <w:rPr>
              <w:rFonts w:eastAsia="Arial Unicode MS" w:cs="Arial"/>
              <w:b/>
              <w:sz w:val="14"/>
              <w:szCs w:val="20"/>
            </w:rPr>
          </w:pPr>
        </w:p>
      </w:tc>
      <w:tc>
        <w:tcPr>
          <w:tcW w:w="3088" w:type="pct"/>
          <w:vMerge/>
          <w:tcBorders>
            <w:top w:val="single" w:sz="4" w:space="0" w:color="000000"/>
            <w:left w:val="single" w:sz="4" w:space="0" w:color="000000"/>
            <w:bottom w:val="single" w:sz="4" w:space="0" w:color="000000"/>
          </w:tcBorders>
          <w:vAlign w:val="center"/>
        </w:tcPr>
        <w:p w14:paraId="51B39270" w14:textId="77777777" w:rsidR="00B221A5" w:rsidRDefault="00B221A5">
          <w:pPr>
            <w:snapToGrid w:val="0"/>
            <w:ind w:left="-28" w:firstLine="28"/>
            <w:jc w:val="center"/>
            <w:rPr>
              <w:rFonts w:cs="Arial"/>
              <w:b/>
              <w:sz w:val="20"/>
              <w:szCs w:val="20"/>
            </w:rPr>
          </w:pPr>
        </w:p>
      </w:tc>
      <w:tc>
        <w:tcPr>
          <w:tcW w:w="1176" w:type="pct"/>
          <w:tcBorders>
            <w:top w:val="single" w:sz="4" w:space="0" w:color="000000"/>
            <w:left w:val="single" w:sz="4" w:space="0" w:color="000000"/>
            <w:bottom w:val="single" w:sz="4" w:space="0" w:color="000000"/>
            <w:right w:val="single" w:sz="4" w:space="0" w:color="000000"/>
          </w:tcBorders>
          <w:vAlign w:val="center"/>
        </w:tcPr>
        <w:p w14:paraId="7105C6D3" w14:textId="50877B77" w:rsidR="00B221A5" w:rsidRDefault="00056F2E">
          <w:pPr>
            <w:rPr>
              <w:rFonts w:eastAsia="Arial Unicode MS" w:cs="Arial"/>
              <w:b/>
              <w:sz w:val="20"/>
              <w:szCs w:val="20"/>
            </w:rPr>
          </w:pPr>
          <w:r>
            <w:rPr>
              <w:rFonts w:eastAsia="Arial" w:cs="Arial"/>
              <w:sz w:val="20"/>
              <w:szCs w:val="20"/>
            </w:rPr>
            <w:t xml:space="preserve">  </w:t>
          </w:r>
          <w:r>
            <w:rPr>
              <w:rFonts w:cs="Arial"/>
              <w:sz w:val="20"/>
              <w:szCs w:val="20"/>
            </w:rPr>
            <w:t>Versión: 00</w:t>
          </w:r>
          <w:r w:rsidR="00182A8F">
            <w:rPr>
              <w:rFonts w:cs="Arial"/>
              <w:sz w:val="20"/>
              <w:szCs w:val="20"/>
            </w:rPr>
            <w:t>4</w:t>
          </w:r>
        </w:p>
      </w:tc>
    </w:tr>
    <w:tr w:rsidR="00B221A5" w14:paraId="7C93DE58" w14:textId="77777777">
      <w:trPr>
        <w:trHeight w:val="397"/>
      </w:trPr>
      <w:tc>
        <w:tcPr>
          <w:tcW w:w="736" w:type="pct"/>
          <w:vMerge/>
          <w:tcBorders>
            <w:top w:val="single" w:sz="4" w:space="0" w:color="000000"/>
            <w:left w:val="single" w:sz="4" w:space="0" w:color="000000"/>
            <w:bottom w:val="single" w:sz="4" w:space="0" w:color="000000"/>
          </w:tcBorders>
          <w:vAlign w:val="center"/>
        </w:tcPr>
        <w:p w14:paraId="51ECDD91" w14:textId="77777777" w:rsidR="00B221A5" w:rsidRDefault="00B221A5">
          <w:pPr>
            <w:snapToGrid w:val="0"/>
            <w:rPr>
              <w:rFonts w:eastAsia="Arial Unicode MS" w:cs="Arial"/>
              <w:b/>
              <w:sz w:val="14"/>
              <w:szCs w:val="20"/>
            </w:rPr>
          </w:pPr>
        </w:p>
      </w:tc>
      <w:tc>
        <w:tcPr>
          <w:tcW w:w="3088" w:type="pct"/>
          <w:vMerge/>
          <w:tcBorders>
            <w:top w:val="single" w:sz="4" w:space="0" w:color="000000"/>
            <w:left w:val="single" w:sz="4" w:space="0" w:color="000000"/>
            <w:bottom w:val="single" w:sz="4" w:space="0" w:color="000000"/>
          </w:tcBorders>
          <w:vAlign w:val="center"/>
        </w:tcPr>
        <w:p w14:paraId="06FCE948" w14:textId="77777777" w:rsidR="00B221A5" w:rsidRDefault="00B221A5">
          <w:pPr>
            <w:snapToGrid w:val="0"/>
            <w:ind w:left="-28" w:firstLine="28"/>
            <w:jc w:val="center"/>
            <w:rPr>
              <w:rFonts w:cs="Arial"/>
              <w:b/>
              <w:sz w:val="20"/>
              <w:szCs w:val="20"/>
            </w:rPr>
          </w:pPr>
        </w:p>
      </w:tc>
      <w:tc>
        <w:tcPr>
          <w:tcW w:w="1176" w:type="pct"/>
          <w:tcBorders>
            <w:top w:val="single" w:sz="4" w:space="0" w:color="000000"/>
            <w:left w:val="single" w:sz="4" w:space="0" w:color="000000"/>
            <w:bottom w:val="single" w:sz="4" w:space="0" w:color="000000"/>
            <w:right w:val="single" w:sz="4" w:space="0" w:color="000000"/>
          </w:tcBorders>
          <w:vAlign w:val="center"/>
        </w:tcPr>
        <w:p w14:paraId="2F8E2E52" w14:textId="77777777" w:rsidR="00B221A5" w:rsidRDefault="00056F2E">
          <w:pPr>
            <w:pStyle w:val="Encabezado"/>
            <w:spacing w:line="240" w:lineRule="auto"/>
            <w:jc w:val="left"/>
            <w:rPr>
              <w:rFonts w:ascii="Times New Roman" w:hAnsi="Times New Roman"/>
              <w:sz w:val="20"/>
              <w:szCs w:val="20"/>
              <w:lang w:val="es-CO" w:eastAsia="es-CO"/>
            </w:rPr>
          </w:pPr>
          <w:r>
            <w:rPr>
              <w:rFonts w:eastAsia="Arial" w:cs="Arial"/>
              <w:sz w:val="20"/>
              <w:szCs w:val="20"/>
              <w:lang w:val="es-CO"/>
            </w:rPr>
            <w:t xml:space="preserve">  </w:t>
          </w:r>
          <w:sdt>
            <w:sdtPr>
              <w:rPr>
                <w:sz w:val="20"/>
                <w:szCs w:val="20"/>
              </w:rPr>
              <w:id w:val="-1358190029"/>
              <w:docPartObj>
                <w:docPartGallery w:val="AutoText"/>
              </w:docPartObj>
            </w:sdtPr>
            <w:sdtEndPr/>
            <w:sdtContent>
              <w:r>
                <w:rPr>
                  <w:sz w:val="20"/>
                  <w:szCs w:val="20"/>
                  <w:lang w:val="es-ES"/>
                </w:rPr>
                <w:t xml:space="preserve">Página </w:t>
              </w:r>
              <w:r>
                <w:rPr>
                  <w:b/>
                  <w:bCs/>
                  <w:sz w:val="20"/>
                  <w:szCs w:val="20"/>
                </w:rPr>
                <w:fldChar w:fldCharType="begin"/>
              </w:r>
              <w:r>
                <w:rPr>
                  <w:b/>
                  <w:bCs/>
                  <w:sz w:val="20"/>
                  <w:szCs w:val="20"/>
                </w:rPr>
                <w:instrText>PAGE  \* Arabic  \* MERGEFORMAT</w:instrText>
              </w:r>
              <w:r>
                <w:rPr>
                  <w:b/>
                  <w:bCs/>
                  <w:sz w:val="20"/>
                  <w:szCs w:val="20"/>
                </w:rPr>
                <w:fldChar w:fldCharType="separate"/>
              </w:r>
              <w:r>
                <w:rPr>
                  <w:b/>
                  <w:bCs/>
                  <w:sz w:val="20"/>
                  <w:szCs w:val="20"/>
                  <w:lang w:val="es-ES"/>
                </w:rPr>
                <w:t>8</w:t>
              </w:r>
              <w:r>
                <w:rPr>
                  <w:b/>
                  <w:bCs/>
                  <w:sz w:val="20"/>
                  <w:szCs w:val="20"/>
                </w:rPr>
                <w:fldChar w:fldCharType="end"/>
              </w:r>
              <w:r>
                <w:rPr>
                  <w:sz w:val="20"/>
                  <w:szCs w:val="20"/>
                  <w:lang w:val="es-ES"/>
                </w:rPr>
                <w:t xml:space="preserve"> de </w:t>
              </w:r>
              <w:r>
                <w:rPr>
                  <w:b/>
                  <w:bCs/>
                  <w:sz w:val="20"/>
                  <w:szCs w:val="20"/>
                </w:rPr>
                <w:fldChar w:fldCharType="begin"/>
              </w:r>
              <w:r>
                <w:rPr>
                  <w:b/>
                  <w:bCs/>
                  <w:sz w:val="20"/>
                  <w:szCs w:val="20"/>
                </w:rPr>
                <w:instrText>NUMPAGES  \* Arabic  \* MERGEFORMAT</w:instrText>
              </w:r>
              <w:r>
                <w:rPr>
                  <w:b/>
                  <w:bCs/>
                  <w:sz w:val="20"/>
                  <w:szCs w:val="20"/>
                </w:rPr>
                <w:fldChar w:fldCharType="separate"/>
              </w:r>
              <w:r>
                <w:rPr>
                  <w:b/>
                  <w:bCs/>
                  <w:sz w:val="20"/>
                  <w:szCs w:val="20"/>
                  <w:lang w:val="es-ES"/>
                </w:rPr>
                <w:t>8</w:t>
              </w:r>
              <w:r>
                <w:rPr>
                  <w:b/>
                  <w:bCs/>
                  <w:sz w:val="20"/>
                  <w:szCs w:val="20"/>
                </w:rPr>
                <w:fldChar w:fldCharType="end"/>
              </w:r>
            </w:sdtContent>
          </w:sdt>
        </w:p>
      </w:tc>
    </w:tr>
  </w:tbl>
  <w:p w14:paraId="4FC5DF03" w14:textId="77777777" w:rsidR="00B221A5" w:rsidRDefault="00B221A5">
    <w:pPr>
      <w:rPr>
        <w:rFonts w:eastAsia="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459B" w14:textId="77777777" w:rsidR="00182A8F" w:rsidRDefault="00182A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6019E"/>
    <w:multiLevelType w:val="hybridMultilevel"/>
    <w:tmpl w:val="7AC441E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246B5908"/>
    <w:multiLevelType w:val="multilevel"/>
    <w:tmpl w:val="FBFA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E0AA3"/>
    <w:multiLevelType w:val="multilevel"/>
    <w:tmpl w:val="2E0E0AA3"/>
    <w:lvl w:ilvl="0">
      <w:start w:val="1"/>
      <w:numFmt w:val="upperRoman"/>
      <w:pStyle w:val="TltuloRomano1"/>
      <w:lvlText w:val="%1."/>
      <w:lvlJc w:val="left"/>
      <w:pPr>
        <w:ind w:left="4973" w:hanging="720"/>
      </w:pPr>
      <w:rPr>
        <w:rFonts w:hint="default"/>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2F005995"/>
    <w:multiLevelType w:val="hybridMultilevel"/>
    <w:tmpl w:val="03ECD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771398"/>
    <w:multiLevelType w:val="hybridMultilevel"/>
    <w:tmpl w:val="EB98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21041A4"/>
    <w:multiLevelType w:val="multilevel"/>
    <w:tmpl w:val="321041A4"/>
    <w:lvl w:ilvl="0">
      <w:start w:val="1"/>
      <w:numFmt w:val="bullet"/>
      <w:lvlText w:val=""/>
      <w:lvlJc w:val="left"/>
      <w:pPr>
        <w:ind w:left="720" w:hanging="360"/>
      </w:pPr>
      <w:rPr>
        <w:rFonts w:ascii="Wingdings" w:hAnsi="Wingdings" w:hint="default"/>
        <w:color w:val="365F91" w:themeColor="accent1"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7015CA"/>
    <w:multiLevelType w:val="multilevel"/>
    <w:tmpl w:val="3A7015CA"/>
    <w:lvl w:ilvl="0">
      <w:start w:val="1"/>
      <w:numFmt w:val="decimal"/>
      <w:lvlText w:val="%1."/>
      <w:lvlJc w:val="left"/>
      <w:pPr>
        <w:ind w:left="571" w:hanging="360"/>
      </w:pPr>
      <w:rPr>
        <w:rFonts w:eastAsia="Arial" w:hint="default"/>
        <w:b/>
        <w:bCs/>
      </w:rPr>
    </w:lvl>
    <w:lvl w:ilvl="1">
      <w:start w:val="1"/>
      <w:numFmt w:val="lowerLetter"/>
      <w:lvlText w:val="%2."/>
      <w:lvlJc w:val="left"/>
      <w:pPr>
        <w:ind w:left="1291" w:hanging="360"/>
      </w:pPr>
    </w:lvl>
    <w:lvl w:ilvl="2">
      <w:start w:val="1"/>
      <w:numFmt w:val="decimal"/>
      <w:lvlText w:val="%3."/>
      <w:lvlJc w:val="right"/>
      <w:pPr>
        <w:ind w:left="2011" w:hanging="180"/>
      </w:pPr>
      <w:rPr>
        <w:rFonts w:ascii="Arial MT" w:eastAsia="Arial MT" w:hAnsi="Arial MT" w:cs="Arial MT"/>
      </w:rPr>
    </w:lvl>
    <w:lvl w:ilvl="3">
      <w:start w:val="1"/>
      <w:numFmt w:val="decimal"/>
      <w:lvlText w:val="%4."/>
      <w:lvlJc w:val="left"/>
      <w:pPr>
        <w:ind w:left="2731" w:hanging="360"/>
      </w:pPr>
    </w:lvl>
    <w:lvl w:ilvl="4">
      <w:start w:val="1"/>
      <w:numFmt w:val="lowerLetter"/>
      <w:lvlText w:val="%5."/>
      <w:lvlJc w:val="left"/>
      <w:pPr>
        <w:ind w:left="3451" w:hanging="360"/>
      </w:pPr>
    </w:lvl>
    <w:lvl w:ilvl="5">
      <w:start w:val="1"/>
      <w:numFmt w:val="lowerRoman"/>
      <w:lvlText w:val="%6."/>
      <w:lvlJc w:val="right"/>
      <w:pPr>
        <w:ind w:left="4171" w:hanging="180"/>
      </w:pPr>
    </w:lvl>
    <w:lvl w:ilvl="6">
      <w:start w:val="1"/>
      <w:numFmt w:val="decimal"/>
      <w:lvlText w:val="%7."/>
      <w:lvlJc w:val="left"/>
      <w:pPr>
        <w:ind w:left="4891" w:hanging="360"/>
      </w:pPr>
    </w:lvl>
    <w:lvl w:ilvl="7">
      <w:start w:val="1"/>
      <w:numFmt w:val="lowerLetter"/>
      <w:lvlText w:val="%8."/>
      <w:lvlJc w:val="left"/>
      <w:pPr>
        <w:ind w:left="5611" w:hanging="360"/>
      </w:pPr>
    </w:lvl>
    <w:lvl w:ilvl="8">
      <w:start w:val="1"/>
      <w:numFmt w:val="lowerRoman"/>
      <w:lvlText w:val="%9."/>
      <w:lvlJc w:val="right"/>
      <w:pPr>
        <w:ind w:left="6331" w:hanging="180"/>
      </w:pPr>
    </w:lvl>
  </w:abstractNum>
  <w:abstractNum w:abstractNumId="7" w15:restartNumberingAfterBreak="0">
    <w:nsid w:val="42C255B8"/>
    <w:multiLevelType w:val="multilevel"/>
    <w:tmpl w:val="42C255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983E1E"/>
    <w:multiLevelType w:val="hybridMultilevel"/>
    <w:tmpl w:val="B0FEA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89C5BE3"/>
    <w:multiLevelType w:val="multilevel"/>
    <w:tmpl w:val="489C5BE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AC45FD"/>
    <w:multiLevelType w:val="hybridMultilevel"/>
    <w:tmpl w:val="C2CED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7C2029E"/>
    <w:multiLevelType w:val="multilevel"/>
    <w:tmpl w:val="57C2029E"/>
    <w:lvl w:ilvl="0">
      <w:start w:val="1"/>
      <w:numFmt w:val="lowerLetter"/>
      <w:pStyle w:val="TtuloRomano2"/>
      <w:lvlText w:val="%1."/>
      <w:lvlJc w:val="left"/>
      <w:pPr>
        <w:ind w:left="720" w:hanging="360"/>
      </w:pPr>
      <w:rPr>
        <w:rFonts w:hint="default"/>
      </w:rPr>
    </w:lvl>
    <w:lvl w:ilvl="1">
      <w:start w:val="1"/>
      <w:numFmt w:val="lowerRoman"/>
      <w:lvlText w:val="%2."/>
      <w:lvlJc w:val="righ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203C64"/>
    <w:multiLevelType w:val="hybridMultilevel"/>
    <w:tmpl w:val="11A41F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1D74DE9"/>
    <w:multiLevelType w:val="hybridMultilevel"/>
    <w:tmpl w:val="499EC9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240794E"/>
    <w:multiLevelType w:val="hybridMultilevel"/>
    <w:tmpl w:val="F4B67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71F669E"/>
    <w:multiLevelType w:val="multilevel"/>
    <w:tmpl w:val="671F669E"/>
    <w:lvl w:ilvl="0">
      <w:start w:val="2"/>
      <w:numFmt w:val="decimal"/>
      <w:pStyle w:val="Ttulo2"/>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D93C04"/>
    <w:multiLevelType w:val="hybridMultilevel"/>
    <w:tmpl w:val="6AAA67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3195457"/>
    <w:multiLevelType w:val="multilevel"/>
    <w:tmpl w:val="73195457"/>
    <w:lvl w:ilvl="0">
      <w:numFmt w:val="bullet"/>
      <w:lvlText w:val=""/>
      <w:lvlJc w:val="left"/>
      <w:pPr>
        <w:ind w:left="1401" w:hanging="361"/>
      </w:pPr>
      <w:rPr>
        <w:rFonts w:ascii="Symbol" w:eastAsia="Symbol" w:hAnsi="Symbol" w:cs="Symbol" w:hint="default"/>
        <w:w w:val="103"/>
        <w:sz w:val="23"/>
        <w:szCs w:val="23"/>
        <w:lang w:val="es-ES" w:eastAsia="en-US" w:bidi="ar-SA"/>
      </w:rPr>
    </w:lvl>
    <w:lvl w:ilvl="1">
      <w:numFmt w:val="bullet"/>
      <w:lvlText w:val="•"/>
      <w:lvlJc w:val="left"/>
      <w:pPr>
        <w:ind w:left="2292" w:hanging="361"/>
      </w:pPr>
      <w:rPr>
        <w:rFonts w:hint="default"/>
        <w:lang w:val="es-ES" w:eastAsia="en-US" w:bidi="ar-SA"/>
      </w:rPr>
    </w:lvl>
    <w:lvl w:ilvl="2">
      <w:numFmt w:val="bullet"/>
      <w:lvlText w:val="•"/>
      <w:lvlJc w:val="left"/>
      <w:pPr>
        <w:ind w:left="3184" w:hanging="361"/>
      </w:pPr>
      <w:rPr>
        <w:rFonts w:hint="default"/>
        <w:lang w:val="es-ES" w:eastAsia="en-US" w:bidi="ar-SA"/>
      </w:rPr>
    </w:lvl>
    <w:lvl w:ilvl="3">
      <w:numFmt w:val="bullet"/>
      <w:lvlText w:val="•"/>
      <w:lvlJc w:val="left"/>
      <w:pPr>
        <w:ind w:left="4076" w:hanging="361"/>
      </w:pPr>
      <w:rPr>
        <w:rFonts w:hint="default"/>
        <w:lang w:val="es-ES" w:eastAsia="en-US" w:bidi="ar-SA"/>
      </w:rPr>
    </w:lvl>
    <w:lvl w:ilvl="4">
      <w:numFmt w:val="bullet"/>
      <w:lvlText w:val="•"/>
      <w:lvlJc w:val="left"/>
      <w:pPr>
        <w:ind w:left="4968" w:hanging="361"/>
      </w:pPr>
      <w:rPr>
        <w:rFonts w:hint="default"/>
        <w:lang w:val="es-ES" w:eastAsia="en-US" w:bidi="ar-SA"/>
      </w:rPr>
    </w:lvl>
    <w:lvl w:ilvl="5">
      <w:numFmt w:val="bullet"/>
      <w:lvlText w:val="•"/>
      <w:lvlJc w:val="left"/>
      <w:pPr>
        <w:ind w:left="5860" w:hanging="361"/>
      </w:pPr>
      <w:rPr>
        <w:rFonts w:hint="default"/>
        <w:lang w:val="es-ES" w:eastAsia="en-US" w:bidi="ar-SA"/>
      </w:rPr>
    </w:lvl>
    <w:lvl w:ilvl="6">
      <w:numFmt w:val="bullet"/>
      <w:lvlText w:val="•"/>
      <w:lvlJc w:val="left"/>
      <w:pPr>
        <w:ind w:left="6752" w:hanging="361"/>
      </w:pPr>
      <w:rPr>
        <w:rFonts w:hint="default"/>
        <w:lang w:val="es-ES" w:eastAsia="en-US" w:bidi="ar-SA"/>
      </w:rPr>
    </w:lvl>
    <w:lvl w:ilvl="7">
      <w:numFmt w:val="bullet"/>
      <w:lvlText w:val="•"/>
      <w:lvlJc w:val="left"/>
      <w:pPr>
        <w:ind w:left="7644" w:hanging="361"/>
      </w:pPr>
      <w:rPr>
        <w:rFonts w:hint="default"/>
        <w:lang w:val="es-ES" w:eastAsia="en-US" w:bidi="ar-SA"/>
      </w:rPr>
    </w:lvl>
    <w:lvl w:ilvl="8">
      <w:numFmt w:val="bullet"/>
      <w:lvlText w:val="•"/>
      <w:lvlJc w:val="left"/>
      <w:pPr>
        <w:ind w:left="8536" w:hanging="361"/>
      </w:pPr>
      <w:rPr>
        <w:rFonts w:hint="default"/>
        <w:lang w:val="es-ES" w:eastAsia="en-US" w:bidi="ar-SA"/>
      </w:rPr>
    </w:lvl>
  </w:abstractNum>
  <w:abstractNum w:abstractNumId="18" w15:restartNumberingAfterBreak="0">
    <w:nsid w:val="76846736"/>
    <w:multiLevelType w:val="multilevel"/>
    <w:tmpl w:val="FBFA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AF1729"/>
    <w:multiLevelType w:val="hybridMultilevel"/>
    <w:tmpl w:val="3BB026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D3126DC"/>
    <w:multiLevelType w:val="multilevel"/>
    <w:tmpl w:val="7D3126DC"/>
    <w:lvl w:ilvl="0">
      <w:start w:val="1"/>
      <w:numFmt w:val="bullet"/>
      <w:lvlText w:val=""/>
      <w:lvlJc w:val="left"/>
      <w:pPr>
        <w:ind w:left="1040" w:hanging="180"/>
      </w:pPr>
      <w:rPr>
        <w:rFonts w:ascii="Wingdings" w:hAnsi="Wingdings" w:hint="default"/>
        <w:color w:val="365F91" w:themeColor="accent1" w:themeShade="BF"/>
        <w:w w:val="103"/>
        <w:sz w:val="23"/>
        <w:szCs w:val="23"/>
        <w:lang w:val="es-ES" w:eastAsia="en-US" w:bidi="ar-SA"/>
      </w:rPr>
    </w:lvl>
    <w:lvl w:ilvl="1">
      <w:numFmt w:val="bullet"/>
      <w:lvlText w:val="•"/>
      <w:lvlJc w:val="left"/>
      <w:pPr>
        <w:ind w:left="1968" w:hanging="180"/>
      </w:pPr>
      <w:rPr>
        <w:rFonts w:hint="default"/>
        <w:lang w:val="es-ES" w:eastAsia="en-US" w:bidi="ar-SA"/>
      </w:rPr>
    </w:lvl>
    <w:lvl w:ilvl="2">
      <w:numFmt w:val="bullet"/>
      <w:lvlText w:val="•"/>
      <w:lvlJc w:val="left"/>
      <w:pPr>
        <w:ind w:left="2896" w:hanging="180"/>
      </w:pPr>
      <w:rPr>
        <w:rFonts w:hint="default"/>
        <w:lang w:val="es-ES" w:eastAsia="en-US" w:bidi="ar-SA"/>
      </w:rPr>
    </w:lvl>
    <w:lvl w:ilvl="3">
      <w:numFmt w:val="bullet"/>
      <w:lvlText w:val="•"/>
      <w:lvlJc w:val="left"/>
      <w:pPr>
        <w:ind w:left="3824" w:hanging="180"/>
      </w:pPr>
      <w:rPr>
        <w:rFonts w:hint="default"/>
        <w:lang w:val="es-ES" w:eastAsia="en-US" w:bidi="ar-SA"/>
      </w:rPr>
    </w:lvl>
    <w:lvl w:ilvl="4">
      <w:numFmt w:val="bullet"/>
      <w:lvlText w:val="•"/>
      <w:lvlJc w:val="left"/>
      <w:pPr>
        <w:ind w:left="4752" w:hanging="180"/>
      </w:pPr>
      <w:rPr>
        <w:rFonts w:hint="default"/>
        <w:lang w:val="es-ES" w:eastAsia="en-US" w:bidi="ar-SA"/>
      </w:rPr>
    </w:lvl>
    <w:lvl w:ilvl="5">
      <w:numFmt w:val="bullet"/>
      <w:lvlText w:val="•"/>
      <w:lvlJc w:val="left"/>
      <w:pPr>
        <w:ind w:left="5680" w:hanging="180"/>
      </w:pPr>
      <w:rPr>
        <w:rFonts w:hint="default"/>
        <w:lang w:val="es-ES" w:eastAsia="en-US" w:bidi="ar-SA"/>
      </w:rPr>
    </w:lvl>
    <w:lvl w:ilvl="6">
      <w:numFmt w:val="bullet"/>
      <w:lvlText w:val="•"/>
      <w:lvlJc w:val="left"/>
      <w:pPr>
        <w:ind w:left="6608" w:hanging="180"/>
      </w:pPr>
      <w:rPr>
        <w:rFonts w:hint="default"/>
        <w:lang w:val="es-ES" w:eastAsia="en-US" w:bidi="ar-SA"/>
      </w:rPr>
    </w:lvl>
    <w:lvl w:ilvl="7">
      <w:numFmt w:val="bullet"/>
      <w:lvlText w:val="•"/>
      <w:lvlJc w:val="left"/>
      <w:pPr>
        <w:ind w:left="7536" w:hanging="180"/>
      </w:pPr>
      <w:rPr>
        <w:rFonts w:hint="default"/>
        <w:lang w:val="es-ES" w:eastAsia="en-US" w:bidi="ar-SA"/>
      </w:rPr>
    </w:lvl>
    <w:lvl w:ilvl="8">
      <w:numFmt w:val="bullet"/>
      <w:lvlText w:val="•"/>
      <w:lvlJc w:val="left"/>
      <w:pPr>
        <w:ind w:left="8464" w:hanging="180"/>
      </w:pPr>
      <w:rPr>
        <w:rFonts w:hint="default"/>
        <w:lang w:val="es-ES" w:eastAsia="en-US" w:bidi="ar-SA"/>
      </w:rPr>
    </w:lvl>
  </w:abstractNum>
  <w:num w:numId="1">
    <w:abstractNumId w:val="15"/>
  </w:num>
  <w:num w:numId="2">
    <w:abstractNumId w:val="2"/>
  </w:num>
  <w:num w:numId="3">
    <w:abstractNumId w:val="11"/>
  </w:num>
  <w:num w:numId="4">
    <w:abstractNumId w:val="6"/>
  </w:num>
  <w:num w:numId="5">
    <w:abstractNumId w:val="17"/>
  </w:num>
  <w:num w:numId="6">
    <w:abstractNumId w:val="5"/>
  </w:num>
  <w:num w:numId="7">
    <w:abstractNumId w:val="20"/>
  </w:num>
  <w:num w:numId="8">
    <w:abstractNumId w:val="9"/>
  </w:num>
  <w:num w:numId="9">
    <w:abstractNumId w:val="7"/>
  </w:num>
  <w:num w:numId="10">
    <w:abstractNumId w:val="19"/>
  </w:num>
  <w:num w:numId="11">
    <w:abstractNumId w:val="13"/>
  </w:num>
  <w:num w:numId="12">
    <w:abstractNumId w:val="1"/>
  </w:num>
  <w:num w:numId="13">
    <w:abstractNumId w:val="4"/>
  </w:num>
  <w:num w:numId="14">
    <w:abstractNumId w:val="10"/>
  </w:num>
  <w:num w:numId="15">
    <w:abstractNumId w:val="12"/>
  </w:num>
  <w:num w:numId="16">
    <w:abstractNumId w:val="16"/>
  </w:num>
  <w:num w:numId="17">
    <w:abstractNumId w:val="8"/>
  </w:num>
  <w:num w:numId="18">
    <w:abstractNumId w:val="3"/>
  </w:num>
  <w:num w:numId="19">
    <w:abstractNumId w:val="14"/>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0"/>
    <w:rsid w:val="00001789"/>
    <w:rsid w:val="000019F2"/>
    <w:rsid w:val="00007284"/>
    <w:rsid w:val="000201DD"/>
    <w:rsid w:val="00036F8A"/>
    <w:rsid w:val="000439C6"/>
    <w:rsid w:val="00054B9A"/>
    <w:rsid w:val="00056F2E"/>
    <w:rsid w:val="00072259"/>
    <w:rsid w:val="0007600A"/>
    <w:rsid w:val="00081216"/>
    <w:rsid w:val="00084A57"/>
    <w:rsid w:val="000865B8"/>
    <w:rsid w:val="0009247B"/>
    <w:rsid w:val="00097166"/>
    <w:rsid w:val="00097A00"/>
    <w:rsid w:val="000A27E2"/>
    <w:rsid w:val="000A43C5"/>
    <w:rsid w:val="000C1C1B"/>
    <w:rsid w:val="000C42AA"/>
    <w:rsid w:val="000C4C4B"/>
    <w:rsid w:val="000C6F07"/>
    <w:rsid w:val="000F22C1"/>
    <w:rsid w:val="000F29FB"/>
    <w:rsid w:val="000F4ED0"/>
    <w:rsid w:val="000F6731"/>
    <w:rsid w:val="000F6C44"/>
    <w:rsid w:val="001011EE"/>
    <w:rsid w:val="00104AFB"/>
    <w:rsid w:val="00104B59"/>
    <w:rsid w:val="00106501"/>
    <w:rsid w:val="00113A62"/>
    <w:rsid w:val="001156F6"/>
    <w:rsid w:val="001179FD"/>
    <w:rsid w:val="001278BE"/>
    <w:rsid w:val="0013340A"/>
    <w:rsid w:val="001345A9"/>
    <w:rsid w:val="00142427"/>
    <w:rsid w:val="001455C4"/>
    <w:rsid w:val="001529D5"/>
    <w:rsid w:val="00153988"/>
    <w:rsid w:val="001576CC"/>
    <w:rsid w:val="00161FE4"/>
    <w:rsid w:val="00171E48"/>
    <w:rsid w:val="001725EB"/>
    <w:rsid w:val="00175F6B"/>
    <w:rsid w:val="00182A8F"/>
    <w:rsid w:val="00190F65"/>
    <w:rsid w:val="001924A3"/>
    <w:rsid w:val="001B3761"/>
    <w:rsid w:val="001B3BFB"/>
    <w:rsid w:val="001B7A1F"/>
    <w:rsid w:val="001B7BF6"/>
    <w:rsid w:val="001D7AC9"/>
    <w:rsid w:val="001D7F3F"/>
    <w:rsid w:val="001F043D"/>
    <w:rsid w:val="001F1206"/>
    <w:rsid w:val="001F36FE"/>
    <w:rsid w:val="001F7E49"/>
    <w:rsid w:val="002003FB"/>
    <w:rsid w:val="0020316B"/>
    <w:rsid w:val="00204FEB"/>
    <w:rsid w:val="00221202"/>
    <w:rsid w:val="00224187"/>
    <w:rsid w:val="00226B8B"/>
    <w:rsid w:val="00231414"/>
    <w:rsid w:val="00235D1B"/>
    <w:rsid w:val="0023605D"/>
    <w:rsid w:val="00236AD8"/>
    <w:rsid w:val="00236B5F"/>
    <w:rsid w:val="0024321A"/>
    <w:rsid w:val="002448B4"/>
    <w:rsid w:val="00260EF9"/>
    <w:rsid w:val="00262D86"/>
    <w:rsid w:val="00264441"/>
    <w:rsid w:val="00264B6B"/>
    <w:rsid w:val="00265014"/>
    <w:rsid w:val="00270335"/>
    <w:rsid w:val="00281747"/>
    <w:rsid w:val="00292BCE"/>
    <w:rsid w:val="002A20B7"/>
    <w:rsid w:val="002A6A5A"/>
    <w:rsid w:val="002B488B"/>
    <w:rsid w:val="002C2E33"/>
    <w:rsid w:val="002C5E1D"/>
    <w:rsid w:val="002C695D"/>
    <w:rsid w:val="002D33B4"/>
    <w:rsid w:val="002D7ADD"/>
    <w:rsid w:val="002F41CF"/>
    <w:rsid w:val="003037C4"/>
    <w:rsid w:val="003039FF"/>
    <w:rsid w:val="00307DD3"/>
    <w:rsid w:val="00311FAE"/>
    <w:rsid w:val="003126B1"/>
    <w:rsid w:val="00322294"/>
    <w:rsid w:val="00323428"/>
    <w:rsid w:val="00342890"/>
    <w:rsid w:val="003434EF"/>
    <w:rsid w:val="00350120"/>
    <w:rsid w:val="00351EFB"/>
    <w:rsid w:val="003568F9"/>
    <w:rsid w:val="00356E88"/>
    <w:rsid w:val="003606F5"/>
    <w:rsid w:val="00362FB3"/>
    <w:rsid w:val="00371AA1"/>
    <w:rsid w:val="00375609"/>
    <w:rsid w:val="00381D99"/>
    <w:rsid w:val="003856CA"/>
    <w:rsid w:val="00386EEA"/>
    <w:rsid w:val="0039268E"/>
    <w:rsid w:val="00396BC7"/>
    <w:rsid w:val="003A0A4A"/>
    <w:rsid w:val="003A3C90"/>
    <w:rsid w:val="003A5D44"/>
    <w:rsid w:val="003B0AD5"/>
    <w:rsid w:val="003B2F28"/>
    <w:rsid w:val="003C20BE"/>
    <w:rsid w:val="003C3CD7"/>
    <w:rsid w:val="003E094B"/>
    <w:rsid w:val="003E1C22"/>
    <w:rsid w:val="003E6148"/>
    <w:rsid w:val="003F11AF"/>
    <w:rsid w:val="003F451F"/>
    <w:rsid w:val="0040063F"/>
    <w:rsid w:val="0040151F"/>
    <w:rsid w:val="00407A56"/>
    <w:rsid w:val="00417A87"/>
    <w:rsid w:val="004200F7"/>
    <w:rsid w:val="00422AAA"/>
    <w:rsid w:val="004270A1"/>
    <w:rsid w:val="0043047F"/>
    <w:rsid w:val="004321EB"/>
    <w:rsid w:val="00432D32"/>
    <w:rsid w:val="004356AA"/>
    <w:rsid w:val="00436646"/>
    <w:rsid w:val="0044559B"/>
    <w:rsid w:val="00445B5B"/>
    <w:rsid w:val="00463FE3"/>
    <w:rsid w:val="00465031"/>
    <w:rsid w:val="00466202"/>
    <w:rsid w:val="00466607"/>
    <w:rsid w:val="00486BB3"/>
    <w:rsid w:val="00496FBF"/>
    <w:rsid w:val="0049774C"/>
    <w:rsid w:val="004A2594"/>
    <w:rsid w:val="004A332D"/>
    <w:rsid w:val="004A5B2F"/>
    <w:rsid w:val="004A6C15"/>
    <w:rsid w:val="004B6123"/>
    <w:rsid w:val="004C04BA"/>
    <w:rsid w:val="004C1B22"/>
    <w:rsid w:val="004C31A4"/>
    <w:rsid w:val="004D01CB"/>
    <w:rsid w:val="004E15F3"/>
    <w:rsid w:val="004E35C2"/>
    <w:rsid w:val="004F0A81"/>
    <w:rsid w:val="004F639B"/>
    <w:rsid w:val="00504C02"/>
    <w:rsid w:val="00511D96"/>
    <w:rsid w:val="005161A0"/>
    <w:rsid w:val="0051752D"/>
    <w:rsid w:val="00521993"/>
    <w:rsid w:val="00530783"/>
    <w:rsid w:val="00530C14"/>
    <w:rsid w:val="0053647C"/>
    <w:rsid w:val="00536D61"/>
    <w:rsid w:val="00537471"/>
    <w:rsid w:val="0054082A"/>
    <w:rsid w:val="00540F91"/>
    <w:rsid w:val="00543917"/>
    <w:rsid w:val="0055030B"/>
    <w:rsid w:val="005510FC"/>
    <w:rsid w:val="00553F17"/>
    <w:rsid w:val="0056151F"/>
    <w:rsid w:val="00565254"/>
    <w:rsid w:val="0056725F"/>
    <w:rsid w:val="00570062"/>
    <w:rsid w:val="005726A8"/>
    <w:rsid w:val="00573CF4"/>
    <w:rsid w:val="00581CAB"/>
    <w:rsid w:val="00594186"/>
    <w:rsid w:val="00596DEA"/>
    <w:rsid w:val="005B0325"/>
    <w:rsid w:val="005B5E89"/>
    <w:rsid w:val="005C1D26"/>
    <w:rsid w:val="005C2F72"/>
    <w:rsid w:val="005C37C5"/>
    <w:rsid w:val="005D7A85"/>
    <w:rsid w:val="005E01CE"/>
    <w:rsid w:val="005E4A7D"/>
    <w:rsid w:val="005F0BD0"/>
    <w:rsid w:val="005F693C"/>
    <w:rsid w:val="005F6BD8"/>
    <w:rsid w:val="00602FDB"/>
    <w:rsid w:val="0060663E"/>
    <w:rsid w:val="00607897"/>
    <w:rsid w:val="00615F06"/>
    <w:rsid w:val="0061607F"/>
    <w:rsid w:val="006177A6"/>
    <w:rsid w:val="0062338C"/>
    <w:rsid w:val="006276AE"/>
    <w:rsid w:val="006327B9"/>
    <w:rsid w:val="00634F49"/>
    <w:rsid w:val="00637052"/>
    <w:rsid w:val="0063782B"/>
    <w:rsid w:val="006411A5"/>
    <w:rsid w:val="006453CB"/>
    <w:rsid w:val="0064695D"/>
    <w:rsid w:val="00646A8F"/>
    <w:rsid w:val="0065176C"/>
    <w:rsid w:val="00652701"/>
    <w:rsid w:val="00652BBA"/>
    <w:rsid w:val="006639AD"/>
    <w:rsid w:val="00665B91"/>
    <w:rsid w:val="00673253"/>
    <w:rsid w:val="0067546F"/>
    <w:rsid w:val="006770D2"/>
    <w:rsid w:val="00690C02"/>
    <w:rsid w:val="00690E08"/>
    <w:rsid w:val="006930D1"/>
    <w:rsid w:val="006B329C"/>
    <w:rsid w:val="006C2725"/>
    <w:rsid w:val="006C3EED"/>
    <w:rsid w:val="006C489A"/>
    <w:rsid w:val="006D4D26"/>
    <w:rsid w:val="006E28DA"/>
    <w:rsid w:val="006F5962"/>
    <w:rsid w:val="00705D3C"/>
    <w:rsid w:val="00707696"/>
    <w:rsid w:val="007152DD"/>
    <w:rsid w:val="007276CE"/>
    <w:rsid w:val="00735760"/>
    <w:rsid w:val="00737706"/>
    <w:rsid w:val="00743CD1"/>
    <w:rsid w:val="00744586"/>
    <w:rsid w:val="00773044"/>
    <w:rsid w:val="007731FE"/>
    <w:rsid w:val="00774CE5"/>
    <w:rsid w:val="00780B7E"/>
    <w:rsid w:val="0078199A"/>
    <w:rsid w:val="007865B9"/>
    <w:rsid w:val="00787C2B"/>
    <w:rsid w:val="00793AEC"/>
    <w:rsid w:val="007B03B1"/>
    <w:rsid w:val="007B49D2"/>
    <w:rsid w:val="007B523C"/>
    <w:rsid w:val="007B54E3"/>
    <w:rsid w:val="007C1A24"/>
    <w:rsid w:val="007C6754"/>
    <w:rsid w:val="007C6BA8"/>
    <w:rsid w:val="007C7193"/>
    <w:rsid w:val="007C7A62"/>
    <w:rsid w:val="007D2F39"/>
    <w:rsid w:val="007D30E7"/>
    <w:rsid w:val="007F44D1"/>
    <w:rsid w:val="00803154"/>
    <w:rsid w:val="00813965"/>
    <w:rsid w:val="00814B42"/>
    <w:rsid w:val="0081703A"/>
    <w:rsid w:val="00825132"/>
    <w:rsid w:val="00830941"/>
    <w:rsid w:val="0083166F"/>
    <w:rsid w:val="008363C4"/>
    <w:rsid w:val="00836D8C"/>
    <w:rsid w:val="00841000"/>
    <w:rsid w:val="0085484B"/>
    <w:rsid w:val="00856848"/>
    <w:rsid w:val="00857947"/>
    <w:rsid w:val="00861FF3"/>
    <w:rsid w:val="00867AEB"/>
    <w:rsid w:val="00870670"/>
    <w:rsid w:val="00873EBE"/>
    <w:rsid w:val="00874237"/>
    <w:rsid w:val="008747D9"/>
    <w:rsid w:val="00877DC6"/>
    <w:rsid w:val="00883C69"/>
    <w:rsid w:val="00887205"/>
    <w:rsid w:val="00887F6E"/>
    <w:rsid w:val="0089215A"/>
    <w:rsid w:val="00893441"/>
    <w:rsid w:val="00894D82"/>
    <w:rsid w:val="008A57B5"/>
    <w:rsid w:val="008A6B49"/>
    <w:rsid w:val="008B3D61"/>
    <w:rsid w:val="008B4BBC"/>
    <w:rsid w:val="008C5B66"/>
    <w:rsid w:val="008C64D3"/>
    <w:rsid w:val="008E17F6"/>
    <w:rsid w:val="008E3CB3"/>
    <w:rsid w:val="008F5027"/>
    <w:rsid w:val="00923067"/>
    <w:rsid w:val="0093189D"/>
    <w:rsid w:val="009345B0"/>
    <w:rsid w:val="009403FA"/>
    <w:rsid w:val="00951824"/>
    <w:rsid w:val="00956C2E"/>
    <w:rsid w:val="009728E9"/>
    <w:rsid w:val="00972AC0"/>
    <w:rsid w:val="00972C91"/>
    <w:rsid w:val="0097342C"/>
    <w:rsid w:val="00973EC5"/>
    <w:rsid w:val="0098103A"/>
    <w:rsid w:val="00982135"/>
    <w:rsid w:val="00986A40"/>
    <w:rsid w:val="00986CDD"/>
    <w:rsid w:val="0099321E"/>
    <w:rsid w:val="009936CA"/>
    <w:rsid w:val="0099399A"/>
    <w:rsid w:val="00997552"/>
    <w:rsid w:val="009B05BC"/>
    <w:rsid w:val="009B083C"/>
    <w:rsid w:val="009B24C9"/>
    <w:rsid w:val="009C2D81"/>
    <w:rsid w:val="009C6701"/>
    <w:rsid w:val="009D023D"/>
    <w:rsid w:val="009D0606"/>
    <w:rsid w:val="009D1E12"/>
    <w:rsid w:val="009D1EE5"/>
    <w:rsid w:val="009D6EEE"/>
    <w:rsid w:val="009E0892"/>
    <w:rsid w:val="009E129F"/>
    <w:rsid w:val="009E1A0F"/>
    <w:rsid w:val="009E3B63"/>
    <w:rsid w:val="009E3FB1"/>
    <w:rsid w:val="009E5789"/>
    <w:rsid w:val="009F1364"/>
    <w:rsid w:val="00A05C45"/>
    <w:rsid w:val="00A07F69"/>
    <w:rsid w:val="00A14ECE"/>
    <w:rsid w:val="00A2116F"/>
    <w:rsid w:val="00A23A91"/>
    <w:rsid w:val="00A251D6"/>
    <w:rsid w:val="00A300ED"/>
    <w:rsid w:val="00A30BFD"/>
    <w:rsid w:val="00A340CC"/>
    <w:rsid w:val="00A47652"/>
    <w:rsid w:val="00A5002C"/>
    <w:rsid w:val="00A60DC0"/>
    <w:rsid w:val="00A64FB1"/>
    <w:rsid w:val="00A70276"/>
    <w:rsid w:val="00A91C66"/>
    <w:rsid w:val="00A92929"/>
    <w:rsid w:val="00AA2A80"/>
    <w:rsid w:val="00AD13C8"/>
    <w:rsid w:val="00AD1C8A"/>
    <w:rsid w:val="00AE062A"/>
    <w:rsid w:val="00AE069E"/>
    <w:rsid w:val="00AE71D7"/>
    <w:rsid w:val="00AF376E"/>
    <w:rsid w:val="00B0070A"/>
    <w:rsid w:val="00B039AE"/>
    <w:rsid w:val="00B03E5A"/>
    <w:rsid w:val="00B11535"/>
    <w:rsid w:val="00B155BB"/>
    <w:rsid w:val="00B16BF2"/>
    <w:rsid w:val="00B2153E"/>
    <w:rsid w:val="00B221A5"/>
    <w:rsid w:val="00B25FDC"/>
    <w:rsid w:val="00B27AE9"/>
    <w:rsid w:val="00B301CB"/>
    <w:rsid w:val="00B30F2A"/>
    <w:rsid w:val="00B36E95"/>
    <w:rsid w:val="00B37E69"/>
    <w:rsid w:val="00B404B1"/>
    <w:rsid w:val="00B46918"/>
    <w:rsid w:val="00B5134A"/>
    <w:rsid w:val="00B5231C"/>
    <w:rsid w:val="00B57C83"/>
    <w:rsid w:val="00B63182"/>
    <w:rsid w:val="00B66AD8"/>
    <w:rsid w:val="00B723E1"/>
    <w:rsid w:val="00B8653C"/>
    <w:rsid w:val="00B94DAD"/>
    <w:rsid w:val="00BA504B"/>
    <w:rsid w:val="00BA626A"/>
    <w:rsid w:val="00BB60A1"/>
    <w:rsid w:val="00BC40EA"/>
    <w:rsid w:val="00BC44D6"/>
    <w:rsid w:val="00BC4528"/>
    <w:rsid w:val="00BC7D9C"/>
    <w:rsid w:val="00BE417E"/>
    <w:rsid w:val="00BE44F2"/>
    <w:rsid w:val="00BE4D30"/>
    <w:rsid w:val="00BE6E65"/>
    <w:rsid w:val="00BE7ED7"/>
    <w:rsid w:val="00BF0323"/>
    <w:rsid w:val="00BF5FBE"/>
    <w:rsid w:val="00BF7C2C"/>
    <w:rsid w:val="00C10AB8"/>
    <w:rsid w:val="00C15A25"/>
    <w:rsid w:val="00C31952"/>
    <w:rsid w:val="00C346C9"/>
    <w:rsid w:val="00C35A3D"/>
    <w:rsid w:val="00C419FE"/>
    <w:rsid w:val="00C50ECE"/>
    <w:rsid w:val="00C54A92"/>
    <w:rsid w:val="00C56305"/>
    <w:rsid w:val="00C574D6"/>
    <w:rsid w:val="00C60F5C"/>
    <w:rsid w:val="00C62CAE"/>
    <w:rsid w:val="00C7139D"/>
    <w:rsid w:val="00C81748"/>
    <w:rsid w:val="00C94B17"/>
    <w:rsid w:val="00C97B35"/>
    <w:rsid w:val="00CA4413"/>
    <w:rsid w:val="00CA54A0"/>
    <w:rsid w:val="00CA6627"/>
    <w:rsid w:val="00CB1BA5"/>
    <w:rsid w:val="00CC24F8"/>
    <w:rsid w:val="00CC3CE8"/>
    <w:rsid w:val="00CC5D7F"/>
    <w:rsid w:val="00CD0CB1"/>
    <w:rsid w:val="00CD6B02"/>
    <w:rsid w:val="00CE1C20"/>
    <w:rsid w:val="00CE5132"/>
    <w:rsid w:val="00CF50BC"/>
    <w:rsid w:val="00D143A5"/>
    <w:rsid w:val="00D14654"/>
    <w:rsid w:val="00D26C94"/>
    <w:rsid w:val="00D32BB7"/>
    <w:rsid w:val="00D34BDD"/>
    <w:rsid w:val="00D373B0"/>
    <w:rsid w:val="00D52A63"/>
    <w:rsid w:val="00D54FB7"/>
    <w:rsid w:val="00D5646C"/>
    <w:rsid w:val="00D732C2"/>
    <w:rsid w:val="00D75B2B"/>
    <w:rsid w:val="00D874DC"/>
    <w:rsid w:val="00D907D5"/>
    <w:rsid w:val="00DA2325"/>
    <w:rsid w:val="00DB3CC0"/>
    <w:rsid w:val="00DB4D55"/>
    <w:rsid w:val="00DB5CB5"/>
    <w:rsid w:val="00DB67C3"/>
    <w:rsid w:val="00DB7B24"/>
    <w:rsid w:val="00DC1197"/>
    <w:rsid w:val="00DC2760"/>
    <w:rsid w:val="00DD4616"/>
    <w:rsid w:val="00DE3BB5"/>
    <w:rsid w:val="00DE4706"/>
    <w:rsid w:val="00DE789B"/>
    <w:rsid w:val="00E04ADF"/>
    <w:rsid w:val="00E04DAC"/>
    <w:rsid w:val="00E217F3"/>
    <w:rsid w:val="00E35DBB"/>
    <w:rsid w:val="00E36C7F"/>
    <w:rsid w:val="00E41ED3"/>
    <w:rsid w:val="00E473EA"/>
    <w:rsid w:val="00E500A9"/>
    <w:rsid w:val="00E520C8"/>
    <w:rsid w:val="00E57B7F"/>
    <w:rsid w:val="00E60364"/>
    <w:rsid w:val="00E726DF"/>
    <w:rsid w:val="00E732BC"/>
    <w:rsid w:val="00E741CE"/>
    <w:rsid w:val="00E85E32"/>
    <w:rsid w:val="00E93917"/>
    <w:rsid w:val="00EA1DAD"/>
    <w:rsid w:val="00EA7AB1"/>
    <w:rsid w:val="00EB0DBC"/>
    <w:rsid w:val="00EB61B1"/>
    <w:rsid w:val="00EC6454"/>
    <w:rsid w:val="00ED2307"/>
    <w:rsid w:val="00EE2AFE"/>
    <w:rsid w:val="00EE6940"/>
    <w:rsid w:val="00EF20E8"/>
    <w:rsid w:val="00EF4E76"/>
    <w:rsid w:val="00F01B36"/>
    <w:rsid w:val="00F01EA3"/>
    <w:rsid w:val="00F048DF"/>
    <w:rsid w:val="00F062BD"/>
    <w:rsid w:val="00F07D5F"/>
    <w:rsid w:val="00F07E06"/>
    <w:rsid w:val="00F16788"/>
    <w:rsid w:val="00F20507"/>
    <w:rsid w:val="00F20676"/>
    <w:rsid w:val="00F2266D"/>
    <w:rsid w:val="00F229BC"/>
    <w:rsid w:val="00F279D6"/>
    <w:rsid w:val="00F40C3E"/>
    <w:rsid w:val="00F45AB8"/>
    <w:rsid w:val="00F4717C"/>
    <w:rsid w:val="00F55E44"/>
    <w:rsid w:val="00F56AF8"/>
    <w:rsid w:val="00F663A8"/>
    <w:rsid w:val="00F66522"/>
    <w:rsid w:val="00F66FBD"/>
    <w:rsid w:val="00F673BD"/>
    <w:rsid w:val="00F70273"/>
    <w:rsid w:val="00F70691"/>
    <w:rsid w:val="00F711B3"/>
    <w:rsid w:val="00F720AD"/>
    <w:rsid w:val="00F76AE5"/>
    <w:rsid w:val="00F875AC"/>
    <w:rsid w:val="00F904AF"/>
    <w:rsid w:val="00F91E94"/>
    <w:rsid w:val="00F92632"/>
    <w:rsid w:val="00F94463"/>
    <w:rsid w:val="00F9590D"/>
    <w:rsid w:val="00FA32B8"/>
    <w:rsid w:val="00FA6293"/>
    <w:rsid w:val="00FB19B0"/>
    <w:rsid w:val="00FB38E2"/>
    <w:rsid w:val="00FB567B"/>
    <w:rsid w:val="00FC7FD6"/>
    <w:rsid w:val="00FD1EE0"/>
    <w:rsid w:val="00FE11A7"/>
    <w:rsid w:val="00FE6CCB"/>
    <w:rsid w:val="00FE7743"/>
    <w:rsid w:val="00FF08E0"/>
    <w:rsid w:val="00FF6156"/>
    <w:rsid w:val="6CD8721D"/>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53E1"/>
  <w15:docId w15:val="{F23BD9D2-9CD7-4EC1-AAFF-A03220E3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Ttulo1">
    <w:name w:val="heading 1"/>
    <w:basedOn w:val="Normal"/>
    <w:next w:val="Normal"/>
    <w:link w:val="Ttulo1Car"/>
    <w:uiPriority w:val="1"/>
    <w:qFormat/>
    <w:pPr>
      <w:keepNext/>
      <w:keepLines/>
      <w:jc w:val="center"/>
      <w:outlineLvl w:val="0"/>
    </w:pPr>
    <w:rPr>
      <w:b/>
      <w:szCs w:val="48"/>
    </w:rPr>
  </w:style>
  <w:style w:type="paragraph" w:styleId="Ttulo2">
    <w:name w:val="heading 2"/>
    <w:basedOn w:val="Normal"/>
    <w:next w:val="Normal"/>
    <w:link w:val="Ttulo2Car"/>
    <w:unhideWhenUsed/>
    <w:qFormat/>
    <w:pPr>
      <w:keepNext/>
      <w:keepLines/>
      <w:numPr>
        <w:numId w:val="1"/>
      </w:numPr>
      <w:outlineLvl w:val="1"/>
    </w:pPr>
    <w:rPr>
      <w:b/>
      <w:szCs w:val="36"/>
    </w:rPr>
  </w:style>
  <w:style w:type="paragraph" w:styleId="Ttulo3">
    <w:name w:val="heading 3"/>
    <w:basedOn w:val="Normal"/>
    <w:next w:val="Normal"/>
    <w:link w:val="Ttulo3Car"/>
    <w:unhideWhenUsed/>
    <w:qFormat/>
    <w:pPr>
      <w:keepNext/>
      <w:keepLines/>
      <w:spacing w:before="280" w:after="80"/>
      <w:ind w:left="720"/>
      <w:outlineLvl w:val="2"/>
    </w:pPr>
    <w:rPr>
      <w:b/>
      <w:szCs w:val="28"/>
    </w:rPr>
  </w:style>
  <w:style w:type="paragraph" w:styleId="Ttulo4">
    <w:name w:val="heading 4"/>
    <w:basedOn w:val="Normal"/>
    <w:next w:val="Normal"/>
    <w:link w:val="Ttulo4Car"/>
    <w:unhideWhenUsed/>
    <w:qFormat/>
    <w:pPr>
      <w:keepNext/>
      <w:keepLines/>
      <w:spacing w:before="240" w:after="40"/>
      <w:ind w:left="720"/>
      <w:outlineLvl w:val="3"/>
    </w:pPr>
    <w:rPr>
      <w:b/>
      <w:i/>
    </w:rPr>
  </w:style>
  <w:style w:type="paragraph" w:styleId="Ttulo5">
    <w:name w:val="heading 5"/>
    <w:basedOn w:val="Normal"/>
    <w:next w:val="Normal"/>
    <w:link w:val="Ttulo5Car"/>
    <w:unhideWhenUsed/>
    <w:qFormat/>
    <w:pPr>
      <w:keepNext/>
      <w:keepLines/>
      <w:spacing w:before="220" w:after="40"/>
      <w:outlineLvl w:val="4"/>
    </w:pPr>
    <w:rPr>
      <w:b/>
      <w:sz w:val="22"/>
      <w:szCs w:val="22"/>
    </w:rPr>
  </w:style>
  <w:style w:type="paragraph" w:styleId="Ttulo6">
    <w:name w:val="heading 6"/>
    <w:basedOn w:val="Normal"/>
    <w:next w:val="Normal"/>
    <w:link w:val="Ttulo6Car"/>
    <w:unhideWhenUsed/>
    <w:qFormat/>
    <w:pPr>
      <w:keepNext/>
      <w:keepLines/>
      <w:spacing w:before="200" w:after="40"/>
      <w:outlineLvl w:val="5"/>
    </w:pPr>
    <w:rPr>
      <w:b/>
      <w:sz w:val="20"/>
      <w:szCs w:val="20"/>
    </w:rPr>
  </w:style>
  <w:style w:type="paragraph" w:styleId="Ttulo7">
    <w:name w:val="heading 7"/>
    <w:basedOn w:val="Normal"/>
    <w:next w:val="Normal"/>
    <w:link w:val="Ttulo7Car"/>
    <w:unhideWhenUsed/>
    <w:qFormat/>
    <w:pPr>
      <w:suppressAutoHyphens/>
      <w:spacing w:before="240" w:after="60" w:line="480" w:lineRule="auto"/>
      <w:ind w:left="1296" w:hanging="1296"/>
      <w:jc w:val="both"/>
      <w:outlineLvl w:val="6"/>
    </w:pPr>
    <w:rPr>
      <w:rFonts w:ascii="Calibri" w:hAnsi="Calibri"/>
    </w:rPr>
  </w:style>
  <w:style w:type="paragraph" w:styleId="Ttulo8">
    <w:name w:val="heading 8"/>
    <w:basedOn w:val="Normal"/>
    <w:next w:val="Normal"/>
    <w:link w:val="Ttulo8Car"/>
    <w:unhideWhenUsed/>
    <w:qFormat/>
    <w:pPr>
      <w:suppressAutoHyphens/>
      <w:spacing w:before="240" w:after="60" w:line="480" w:lineRule="auto"/>
      <w:ind w:left="1440" w:hanging="1440"/>
      <w:jc w:val="both"/>
      <w:outlineLvl w:val="7"/>
    </w:pPr>
    <w:rPr>
      <w:rFonts w:ascii="Calibri" w:hAnsi="Calibri"/>
      <w:i/>
      <w:iCs/>
    </w:rPr>
  </w:style>
  <w:style w:type="paragraph" w:styleId="Ttulo9">
    <w:name w:val="heading 9"/>
    <w:basedOn w:val="Normal"/>
    <w:next w:val="Normal"/>
    <w:link w:val="Ttulo9Car"/>
    <w:unhideWhenUsed/>
    <w:qFormat/>
    <w:pPr>
      <w:suppressAutoHyphens/>
      <w:spacing w:before="240" w:after="60" w:line="480" w:lineRule="auto"/>
      <w:ind w:left="1584" w:hanging="1584"/>
      <w:jc w:val="both"/>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Pr>
      <w:sz w:val="16"/>
      <w:szCs w:val="16"/>
    </w:rPr>
  </w:style>
  <w:style w:type="character" w:styleId="Refdenotaalpie">
    <w:name w:val="footnote reference"/>
    <w:uiPriority w:val="99"/>
    <w:unhideWhenUsed/>
    <w:rPr>
      <w:vertAlign w:val="superscript"/>
    </w:rPr>
  </w:style>
  <w:style w:type="character" w:styleId="Hipervnculo">
    <w:name w:val="Hyperlink"/>
    <w:uiPriority w:val="99"/>
    <w:unhideWhenUsed/>
    <w:rPr>
      <w:color w:val="0000FF"/>
      <w:u w:val="single"/>
    </w:rPr>
  </w:style>
  <w:style w:type="character" w:styleId="Textoennegrita">
    <w:name w:val="Strong"/>
    <w:uiPriority w:val="22"/>
    <w:qFormat/>
    <w:rPr>
      <w:b/>
      <w:bCs/>
    </w:rPr>
  </w:style>
  <w:style w:type="paragraph" w:styleId="TDC3">
    <w:name w:val="toc 3"/>
    <w:basedOn w:val="Normal"/>
    <w:next w:val="Normal"/>
    <w:uiPriority w:val="39"/>
    <w:unhideWhenUsed/>
    <w:pPr>
      <w:suppressAutoHyphens/>
      <w:spacing w:line="480" w:lineRule="auto"/>
      <w:ind w:left="480"/>
      <w:jc w:val="both"/>
    </w:pPr>
    <w:rPr>
      <w:szCs w:val="20"/>
    </w:rPr>
  </w:style>
  <w:style w:type="paragraph" w:styleId="Textonotapie">
    <w:name w:val="footnote text"/>
    <w:basedOn w:val="Normal"/>
    <w:link w:val="TextonotapieCar"/>
    <w:uiPriority w:val="99"/>
    <w:semiHidden/>
    <w:unhideWhenUsed/>
    <w:pPr>
      <w:suppressAutoHyphens/>
      <w:spacing w:line="480" w:lineRule="auto"/>
      <w:jc w:val="both"/>
    </w:pPr>
    <w:rPr>
      <w:szCs w:val="20"/>
      <w:lang w:val="es-ES" w:eastAsia="ar-SA"/>
    </w:rPr>
  </w:style>
  <w:style w:type="paragraph" w:styleId="TDC9">
    <w:name w:val="toc 9"/>
    <w:basedOn w:val="Normal"/>
    <w:next w:val="Normal"/>
    <w:uiPriority w:val="39"/>
    <w:unhideWhenUsed/>
    <w:pPr>
      <w:spacing w:after="100" w:line="276" w:lineRule="auto"/>
      <w:ind w:left="1760"/>
      <w:jc w:val="both"/>
    </w:pPr>
    <w:rPr>
      <w:rFonts w:ascii="Calibri" w:hAnsi="Calibri"/>
      <w:sz w:val="22"/>
      <w:szCs w:val="22"/>
    </w:rPr>
  </w:style>
  <w:style w:type="paragraph" w:styleId="Descripcin">
    <w:name w:val="caption"/>
    <w:basedOn w:val="Normal"/>
    <w:next w:val="Normal"/>
    <w:link w:val="DescripcinCar"/>
    <w:uiPriority w:val="35"/>
    <w:unhideWhenUsed/>
    <w:qFormat/>
    <w:pPr>
      <w:spacing w:after="200"/>
    </w:pPr>
    <w:rPr>
      <w:i/>
      <w:iCs/>
      <w:color w:val="1F497D" w:themeColor="text2"/>
      <w:sz w:val="18"/>
      <w:szCs w:val="18"/>
    </w:rPr>
  </w:style>
  <w:style w:type="paragraph" w:styleId="TDC7">
    <w:name w:val="toc 7"/>
    <w:basedOn w:val="Normal"/>
    <w:next w:val="Normal"/>
    <w:uiPriority w:val="39"/>
    <w:unhideWhenUsed/>
    <w:pPr>
      <w:spacing w:after="100" w:line="276" w:lineRule="auto"/>
      <w:ind w:left="1320"/>
      <w:jc w:val="both"/>
    </w:pPr>
    <w:rPr>
      <w:rFonts w:ascii="Calibri" w:hAnsi="Calibri"/>
      <w:sz w:val="22"/>
      <w:szCs w:val="22"/>
    </w:rPr>
  </w:style>
  <w:style w:type="paragraph" w:styleId="TDC1">
    <w:name w:val="toc 1"/>
    <w:basedOn w:val="Normal"/>
    <w:next w:val="Normal"/>
    <w:uiPriority w:val="39"/>
    <w:unhideWhenUsed/>
    <w:qFormat/>
    <w:pPr>
      <w:tabs>
        <w:tab w:val="left" w:pos="480"/>
        <w:tab w:val="right" w:leader="dot" w:pos="9395"/>
      </w:tabs>
      <w:suppressAutoHyphens/>
      <w:spacing w:line="480" w:lineRule="auto"/>
      <w:jc w:val="both"/>
    </w:pPr>
    <w:rPr>
      <w:szCs w:val="20"/>
    </w:rPr>
  </w:style>
  <w:style w:type="paragraph" w:styleId="TDC8">
    <w:name w:val="toc 8"/>
    <w:basedOn w:val="Normal"/>
    <w:next w:val="Normal"/>
    <w:uiPriority w:val="39"/>
    <w:unhideWhenUsed/>
    <w:pPr>
      <w:spacing w:after="100" w:line="276" w:lineRule="auto"/>
      <w:ind w:left="1540"/>
      <w:jc w:val="both"/>
    </w:pPr>
    <w:rPr>
      <w:rFonts w:ascii="Calibri" w:hAnsi="Calibri"/>
      <w:sz w:val="22"/>
      <w:szCs w:val="22"/>
    </w:rPr>
  </w:style>
  <w:style w:type="paragraph" w:styleId="TDC2">
    <w:name w:val="toc 2"/>
    <w:basedOn w:val="Normal"/>
    <w:next w:val="Normal"/>
    <w:uiPriority w:val="39"/>
    <w:unhideWhenUsed/>
    <w:qFormat/>
    <w:pPr>
      <w:tabs>
        <w:tab w:val="right" w:leader="dot" w:pos="9395"/>
      </w:tabs>
      <w:suppressAutoHyphens/>
      <w:spacing w:line="480" w:lineRule="auto"/>
      <w:ind w:left="240"/>
      <w:jc w:val="both"/>
    </w:pPr>
    <w:rPr>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unhideWhenUsed/>
    <w:pPr>
      <w:suppressAutoHyphens/>
      <w:spacing w:line="480" w:lineRule="auto"/>
      <w:jc w:val="both"/>
    </w:pPr>
    <w:rPr>
      <w:szCs w:val="20"/>
      <w:lang w:val="es-ES" w:eastAsia="ar-SA"/>
    </w:rPr>
  </w:style>
  <w:style w:type="paragraph" w:styleId="Textodeglobo">
    <w:name w:val="Balloon Text"/>
    <w:basedOn w:val="Normal"/>
    <w:link w:val="TextodegloboCar"/>
    <w:uiPriority w:val="99"/>
    <w:semiHidden/>
    <w:unhideWhenUsed/>
    <w:pPr>
      <w:suppressAutoHyphens/>
      <w:spacing w:line="480" w:lineRule="auto"/>
      <w:jc w:val="both"/>
    </w:pPr>
    <w:rPr>
      <w:rFonts w:ascii="Tahoma" w:hAnsi="Tahoma"/>
      <w:sz w:val="16"/>
      <w:szCs w:val="16"/>
      <w:lang w:val="zh-CN" w:eastAsia="ar-SA"/>
    </w:rPr>
  </w:style>
  <w:style w:type="paragraph" w:styleId="TDC6">
    <w:name w:val="toc 6"/>
    <w:basedOn w:val="Normal"/>
    <w:next w:val="Normal"/>
    <w:uiPriority w:val="39"/>
    <w:unhideWhenUsed/>
    <w:pPr>
      <w:spacing w:after="100" w:line="276" w:lineRule="auto"/>
      <w:ind w:left="1100"/>
      <w:jc w:val="both"/>
    </w:pPr>
    <w:rPr>
      <w:rFonts w:ascii="Calibri" w:hAnsi="Calibri"/>
      <w:sz w:val="22"/>
      <w:szCs w:val="22"/>
    </w:rPr>
  </w:style>
  <w:style w:type="paragraph" w:styleId="TDC5">
    <w:name w:val="toc 5"/>
    <w:basedOn w:val="Normal"/>
    <w:next w:val="Normal"/>
    <w:uiPriority w:val="39"/>
    <w:unhideWhenUsed/>
    <w:pPr>
      <w:spacing w:after="100" w:line="276" w:lineRule="auto"/>
      <w:ind w:left="880"/>
      <w:jc w:val="both"/>
    </w:pPr>
    <w:rPr>
      <w:rFonts w:ascii="Calibri" w:hAnsi="Calibri"/>
      <w:sz w:val="22"/>
      <w:szCs w:val="22"/>
    </w:rPr>
  </w:style>
  <w:style w:type="paragraph" w:styleId="Tabladeilustraciones">
    <w:name w:val="table of figures"/>
    <w:basedOn w:val="Normal"/>
    <w:next w:val="Normal"/>
    <w:uiPriority w:val="99"/>
    <w:unhideWhenUsed/>
  </w:style>
  <w:style w:type="paragraph" w:styleId="TDC4">
    <w:name w:val="toc 4"/>
    <w:basedOn w:val="Normal"/>
    <w:next w:val="Normal"/>
    <w:uiPriority w:val="39"/>
    <w:unhideWhenUsed/>
    <w:pPr>
      <w:spacing w:after="100" w:line="276" w:lineRule="auto"/>
      <w:ind w:left="660"/>
      <w:jc w:val="both"/>
    </w:pPr>
    <w:rPr>
      <w:rFonts w:ascii="Calibri" w:hAnsi="Calibri"/>
      <w:sz w:val="22"/>
      <w:szCs w:val="22"/>
    </w:rPr>
  </w:style>
  <w:style w:type="paragraph" w:styleId="Encabezado">
    <w:name w:val="header"/>
    <w:basedOn w:val="Normal"/>
    <w:link w:val="EncabezadoCar"/>
    <w:uiPriority w:val="99"/>
    <w:pPr>
      <w:tabs>
        <w:tab w:val="center" w:pos="4252"/>
        <w:tab w:val="right" w:pos="8504"/>
      </w:tabs>
      <w:suppressAutoHyphens/>
      <w:spacing w:line="480" w:lineRule="auto"/>
      <w:jc w:val="both"/>
    </w:pPr>
    <w:rPr>
      <w:lang w:val="zh-CN" w:eastAsia="ar-SA"/>
    </w:rPr>
  </w:style>
  <w:style w:type="paragraph" w:styleId="Lista">
    <w:name w:val="List"/>
    <w:basedOn w:val="Textoindependiente"/>
    <w:rPr>
      <w:rFonts w:cs="Tahoma"/>
    </w:rPr>
  </w:style>
  <w:style w:type="paragraph" w:styleId="Textoindependiente">
    <w:name w:val="Body Text"/>
    <w:basedOn w:val="Normal"/>
    <w:link w:val="TextoindependienteCar"/>
    <w:uiPriority w:val="1"/>
    <w:qFormat/>
    <w:pPr>
      <w:suppressAutoHyphens/>
      <w:spacing w:line="480" w:lineRule="auto"/>
      <w:jc w:val="both"/>
    </w:pPr>
    <w:rPr>
      <w:sz w:val="16"/>
      <w:lang w:val="zh-CN" w:eastAsia="ar-SA"/>
    </w:rPr>
  </w:style>
  <w:style w:type="paragraph" w:styleId="NormalWeb">
    <w:name w:val="Normal (Web)"/>
    <w:basedOn w:val="Normal"/>
    <w:uiPriority w:val="99"/>
    <w:unhideWhenUsed/>
    <w:pPr>
      <w:spacing w:before="100" w:beforeAutospacing="1" w:after="100" w:afterAutospacing="1" w:line="480" w:lineRule="auto"/>
      <w:jc w:val="both"/>
    </w:pPr>
    <w:rPr>
      <w:szCs w:val="20"/>
    </w:rPr>
  </w:style>
  <w:style w:type="paragraph" w:styleId="Piedepgina">
    <w:name w:val="footer"/>
    <w:basedOn w:val="Normal"/>
    <w:link w:val="PiedepginaCar"/>
    <w:uiPriority w:val="99"/>
    <w:pPr>
      <w:tabs>
        <w:tab w:val="center" w:pos="4252"/>
        <w:tab w:val="right" w:pos="8504"/>
      </w:tabs>
      <w:suppressAutoHyphens/>
      <w:spacing w:line="480" w:lineRule="auto"/>
      <w:jc w:val="both"/>
    </w:pPr>
    <w:rPr>
      <w:lang w:val="zh-CN" w:eastAsia="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tblPr>
      <w:tblCellMar>
        <w:top w:w="0" w:type="dxa"/>
        <w:left w:w="0" w:type="dxa"/>
        <w:bottom w:w="0" w:type="dxa"/>
        <w:right w:w="0" w:type="dxa"/>
      </w:tblCellMar>
    </w:tblPr>
  </w:style>
  <w:style w:type="character" w:customStyle="1" w:styleId="Ttulo7Car">
    <w:name w:val="Título 7 Car"/>
    <w:basedOn w:val="Fuentedeprrafopredeter"/>
    <w:link w:val="Ttulo7"/>
    <w:qFormat/>
    <w:rPr>
      <w:rFonts w:ascii="Calibri" w:hAnsi="Calibri"/>
    </w:rPr>
  </w:style>
  <w:style w:type="character" w:customStyle="1" w:styleId="Ttulo8Car">
    <w:name w:val="Título 8 Car"/>
    <w:basedOn w:val="Fuentedeprrafopredeter"/>
    <w:link w:val="Ttulo8"/>
    <w:rPr>
      <w:rFonts w:ascii="Calibri" w:hAnsi="Calibri"/>
      <w:i/>
      <w:iCs/>
    </w:rPr>
  </w:style>
  <w:style w:type="character" w:customStyle="1" w:styleId="Ttulo9Car">
    <w:name w:val="Título 9 Car"/>
    <w:basedOn w:val="Fuentedeprrafopredeter"/>
    <w:link w:val="Ttulo9"/>
    <w:qFormat/>
    <w:rPr>
      <w:rFonts w:ascii="Calibri Light" w:hAnsi="Calibri Light"/>
      <w:sz w:val="22"/>
      <w:szCs w:val="22"/>
    </w:rPr>
  </w:style>
  <w:style w:type="character" w:customStyle="1" w:styleId="WW8Num2z0">
    <w:name w:val="WW8Num2z0"/>
    <w:rPr>
      <w:rFonts w:ascii="Symbol" w:hAnsi="Symbol"/>
      <w:color w:val="auto"/>
      <w:sz w:val="16"/>
    </w:rPr>
  </w:style>
  <w:style w:type="character" w:customStyle="1" w:styleId="WW8Num3z0">
    <w:name w:val="WW8Num3z0"/>
    <w:rPr>
      <w:rFonts w:ascii="Symbol" w:hAnsi="Symbol"/>
    </w:rPr>
  </w:style>
  <w:style w:type="character" w:customStyle="1" w:styleId="WW8Num4z0">
    <w:name w:val="WW8Num4z0"/>
    <w:qFormat/>
    <w:rPr>
      <w:rFonts w:ascii="Symbol" w:hAnsi="Symbol"/>
      <w:color w:val="auto"/>
      <w:sz w:val="16"/>
    </w:rPr>
  </w:style>
  <w:style w:type="character" w:customStyle="1" w:styleId="WW8Num5z0">
    <w:name w:val="WW8Num5z0"/>
    <w:qFormat/>
    <w:rPr>
      <w:rFonts w:ascii="Symbol" w:hAnsi="Symbol"/>
    </w:rPr>
  </w:style>
  <w:style w:type="character" w:customStyle="1" w:styleId="WW8Num6z0">
    <w:name w:val="WW8Num6z0"/>
    <w:rPr>
      <w:rFonts w:ascii="Symbol" w:hAnsi="Symbol"/>
      <w:color w:val="auto"/>
      <w:sz w:val="16"/>
    </w:rPr>
  </w:style>
  <w:style w:type="character" w:customStyle="1" w:styleId="WW8Num7z0">
    <w:name w:val="WW8Num7z0"/>
    <w:qFormat/>
    <w:rPr>
      <w:rFonts w:ascii="Symbol" w:hAnsi="Symbol"/>
      <w:color w:val="auto"/>
      <w:sz w:val="16"/>
    </w:rPr>
  </w:style>
  <w:style w:type="character" w:customStyle="1" w:styleId="WW8Num8z0">
    <w:name w:val="WW8Num8z0"/>
    <w:rPr>
      <w:rFonts w:ascii="Symbol" w:hAnsi="Symbol"/>
      <w:color w:val="auto"/>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color w:val="auto"/>
    </w:rPr>
  </w:style>
  <w:style w:type="character" w:customStyle="1" w:styleId="WW8Num11z1">
    <w:name w:val="WW8Num11z1"/>
    <w:qFormat/>
    <w:rPr>
      <w:rFonts w:ascii="Courier New" w:hAnsi="Courier New"/>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cs="Courier New"/>
    </w:rPr>
  </w:style>
  <w:style w:type="character" w:customStyle="1" w:styleId="Fuentedeprrafopredeter2">
    <w:name w:val="Fuente de párrafo predeter.2"/>
  </w:style>
  <w:style w:type="character" w:customStyle="1" w:styleId="Absatz-Standardschriftart">
    <w:name w:val="Absatz-Standardschriftart"/>
    <w:qFormat/>
  </w:style>
  <w:style w:type="character" w:customStyle="1" w:styleId="WW8Num1z0">
    <w:name w:val="WW8Num1z0"/>
    <w:qFormat/>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qFormat/>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qFormat/>
    <w:rPr>
      <w:rFonts w:ascii="Wingdings" w:hAnsi="Wingdings"/>
    </w:rPr>
  </w:style>
  <w:style w:type="character" w:customStyle="1" w:styleId="WW8Num4z1">
    <w:name w:val="WW8Num4z1"/>
    <w:rPr>
      <w:rFonts w:ascii="Symbol" w:hAnsi="Symbol"/>
    </w:rPr>
  </w:style>
  <w:style w:type="character" w:customStyle="1" w:styleId="WW8Num4z2">
    <w:name w:val="WW8Num4z2"/>
    <w:rPr>
      <w:rFonts w:ascii="Wingdings" w:hAnsi="Wingdings"/>
    </w:rPr>
  </w:style>
  <w:style w:type="character" w:customStyle="1" w:styleId="WW8Num4z4">
    <w:name w:val="WW8Num4z4"/>
    <w:qFormat/>
    <w:rPr>
      <w:rFonts w:ascii="Courier New" w:hAnsi="Courier New"/>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6z3">
    <w:name w:val="WW8Num6z3"/>
    <w:rPr>
      <w:rFonts w:ascii="Symbol" w:hAnsi="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color w:val="auto"/>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color w:val="auto"/>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color w:val="auto"/>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2">
    <w:name w:val="WW8Num21z2"/>
    <w:rPr>
      <w:rFonts w:ascii="Wingdings" w:hAnsi="Wingdings"/>
    </w:rPr>
  </w:style>
  <w:style w:type="character" w:customStyle="1" w:styleId="WW8Num21z4">
    <w:name w:val="WW8Num21z4"/>
    <w:rPr>
      <w:rFonts w:ascii="Courier New" w:hAnsi="Courier New" w:cs="Courier New"/>
    </w:rPr>
  </w:style>
  <w:style w:type="character" w:customStyle="1" w:styleId="WW8Num22z0">
    <w:name w:val="WW8Num22z0"/>
    <w:rPr>
      <w:rFonts w:ascii="Symbol" w:hAnsi="Symbol"/>
      <w:color w:val="auto"/>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color w:val="auto"/>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eastAsia="Times New Roman" w:hAnsi="Symbol" w:cs="Arial"/>
    </w:rPr>
  </w:style>
  <w:style w:type="character" w:customStyle="1" w:styleId="WW8Num24z1">
    <w:name w:val="WW8Num24z1"/>
    <w:rPr>
      <w:rFonts w:ascii="Symbol" w:hAnsi="Symbol"/>
    </w:rPr>
  </w:style>
  <w:style w:type="character" w:customStyle="1" w:styleId="WW8Num24z2">
    <w:name w:val="WW8Num24z2"/>
    <w:rPr>
      <w:rFonts w:ascii="Wingdings" w:hAnsi="Wingdings"/>
    </w:rPr>
  </w:style>
  <w:style w:type="character" w:customStyle="1" w:styleId="WW8Num24z4">
    <w:name w:val="WW8Num24z4"/>
    <w:rPr>
      <w:rFonts w:ascii="Courier New" w:hAnsi="Courier New"/>
    </w:rPr>
  </w:style>
  <w:style w:type="character" w:customStyle="1" w:styleId="WW8Num25z0">
    <w:name w:val="WW8Num25z0"/>
    <w:rPr>
      <w:rFonts w:ascii="Symbol" w:hAnsi="Symbol"/>
      <w:color w:val="auto"/>
    </w:rPr>
  </w:style>
  <w:style w:type="character" w:customStyle="1" w:styleId="WW8Num26z0">
    <w:name w:val="WW8Num26z0"/>
    <w:rPr>
      <w:rFonts w:ascii="Symbol" w:hAnsi="Symbol"/>
      <w:sz w:val="16"/>
      <w:szCs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7z2">
    <w:name w:val="WW8Num27z2"/>
    <w:rPr>
      <w:rFonts w:ascii="Wingdings" w:hAnsi="Wingdings"/>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olor w:val="auto"/>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eastAsia="Times New Roman" w:hAnsi="Symbol" w:cs="Arial"/>
    </w:rPr>
  </w:style>
  <w:style w:type="character" w:customStyle="1" w:styleId="WW8Num29z1">
    <w:name w:val="WW8Num29z1"/>
    <w:rPr>
      <w:rFonts w:ascii="Symbol" w:hAnsi="Symbol"/>
    </w:rPr>
  </w:style>
  <w:style w:type="character" w:customStyle="1" w:styleId="WW8Num29z2">
    <w:name w:val="WW8Num29z2"/>
    <w:rPr>
      <w:rFonts w:ascii="Wingdings" w:hAnsi="Wingdings"/>
    </w:rPr>
  </w:style>
  <w:style w:type="character" w:customStyle="1" w:styleId="WW8Num29z4">
    <w:name w:val="WW8Num29z4"/>
    <w:rPr>
      <w:rFonts w:ascii="Courier New" w:hAnsi="Courier New"/>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sz w:val="16"/>
      <w:szCs w:val="16"/>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Symbol" w:hAnsi="Symbol"/>
      <w:color w:val="auto"/>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color w:val="auto"/>
      <w:sz w:val="16"/>
    </w:rPr>
  </w:style>
  <w:style w:type="character" w:customStyle="1" w:styleId="WW8Num34z1">
    <w:name w:val="WW8Num34z1"/>
    <w:rPr>
      <w:rFonts w:ascii="Symbol" w:hAnsi="Symbol"/>
      <w:color w:val="auto"/>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color w:val="auto"/>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color w:val="auto"/>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olor w:val="auto"/>
      <w:sz w:val="16"/>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Symbol" w:hAnsi="Symbol"/>
      <w:color w:val="auto"/>
      <w:sz w:val="16"/>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color w:val="auto"/>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Fuentedeprrafopredeter1">
    <w:name w:val="Fuente de párrafo predeter.1"/>
  </w:style>
  <w:style w:type="paragraph" w:customStyle="1" w:styleId="Encabezado2">
    <w:name w:val="Encabezado2"/>
    <w:basedOn w:val="Normal"/>
    <w:next w:val="Textoindependiente"/>
    <w:pPr>
      <w:keepNext/>
      <w:suppressAutoHyphens/>
      <w:spacing w:before="240" w:after="120" w:line="480" w:lineRule="auto"/>
      <w:jc w:val="both"/>
    </w:pPr>
    <w:rPr>
      <w:rFonts w:eastAsia="Arial Unicode MS" w:cs="Tahoma"/>
      <w:sz w:val="28"/>
      <w:szCs w:val="28"/>
    </w:rPr>
  </w:style>
  <w:style w:type="character" w:customStyle="1" w:styleId="TextoindependienteCar">
    <w:name w:val="Texto independiente Car"/>
    <w:basedOn w:val="Fuentedeprrafopredeter"/>
    <w:link w:val="Textoindependiente"/>
    <w:uiPriority w:val="1"/>
    <w:rPr>
      <w:rFonts w:ascii="Arial" w:hAnsi="Arial"/>
      <w:sz w:val="16"/>
      <w:lang w:val="zh-CN" w:eastAsia="ar-SA"/>
    </w:rPr>
  </w:style>
  <w:style w:type="paragraph" w:customStyle="1" w:styleId="Etiqueta">
    <w:name w:val="Etiqueta"/>
    <w:basedOn w:val="Normal"/>
    <w:pPr>
      <w:suppressLineNumbers/>
      <w:suppressAutoHyphens/>
      <w:spacing w:before="120" w:after="120" w:line="480" w:lineRule="auto"/>
      <w:jc w:val="both"/>
    </w:pPr>
    <w:rPr>
      <w:rFonts w:cs="Tahoma"/>
      <w:i/>
      <w:iCs/>
      <w:szCs w:val="20"/>
    </w:rPr>
  </w:style>
  <w:style w:type="paragraph" w:customStyle="1" w:styleId="ndice">
    <w:name w:val="Índice"/>
    <w:basedOn w:val="Normal"/>
    <w:pPr>
      <w:suppressLineNumbers/>
      <w:suppressAutoHyphens/>
      <w:spacing w:line="480" w:lineRule="auto"/>
      <w:jc w:val="both"/>
    </w:pPr>
    <w:rPr>
      <w:rFonts w:cs="Tahoma"/>
      <w:szCs w:val="20"/>
    </w:rPr>
  </w:style>
  <w:style w:type="paragraph" w:customStyle="1" w:styleId="Encabezado1">
    <w:name w:val="Encabezado1"/>
    <w:basedOn w:val="Normal"/>
    <w:next w:val="Textoindependiente"/>
    <w:pPr>
      <w:keepNext/>
      <w:suppressAutoHyphens/>
      <w:spacing w:before="240" w:after="120" w:line="480" w:lineRule="auto"/>
      <w:jc w:val="both"/>
    </w:pPr>
    <w:rPr>
      <w:rFonts w:eastAsia="Lucida Sans Unicode" w:cs="Tahoma"/>
      <w:sz w:val="28"/>
      <w:szCs w:val="28"/>
    </w:rPr>
  </w:style>
  <w:style w:type="character" w:customStyle="1" w:styleId="EncabezadoCar">
    <w:name w:val="Encabezado Car"/>
    <w:basedOn w:val="Fuentedeprrafopredeter"/>
    <w:link w:val="Encabezado"/>
    <w:uiPriority w:val="99"/>
    <w:rPr>
      <w:rFonts w:ascii="Arial" w:hAnsi="Arial"/>
      <w:lang w:val="zh-CN" w:eastAsia="ar-SA"/>
    </w:rPr>
  </w:style>
  <w:style w:type="character" w:customStyle="1" w:styleId="PiedepginaCar">
    <w:name w:val="Pie de página Car"/>
    <w:basedOn w:val="Fuentedeprrafopredeter"/>
    <w:link w:val="Piedepgina"/>
    <w:uiPriority w:val="99"/>
    <w:rPr>
      <w:rFonts w:ascii="Arial" w:hAnsi="Arial"/>
      <w:lang w:val="zh-CN" w:eastAsia="ar-SA"/>
    </w:rPr>
  </w:style>
  <w:style w:type="paragraph" w:customStyle="1" w:styleId="Textoindependiente31">
    <w:name w:val="Texto independiente 31"/>
    <w:basedOn w:val="Normal"/>
    <w:pPr>
      <w:suppressAutoHyphens/>
      <w:spacing w:line="480" w:lineRule="auto"/>
      <w:jc w:val="both"/>
    </w:pPr>
    <w:rPr>
      <w:rFonts w:cs="Arial"/>
      <w:bCs/>
      <w:sz w:val="20"/>
      <w:szCs w:val="20"/>
    </w:rPr>
  </w:style>
  <w:style w:type="paragraph" w:customStyle="1" w:styleId="Contenidodelatabla">
    <w:name w:val="Contenido de la tabla"/>
    <w:basedOn w:val="Normal"/>
    <w:pPr>
      <w:suppressLineNumbers/>
      <w:suppressAutoHyphens/>
      <w:spacing w:line="480" w:lineRule="auto"/>
      <w:jc w:val="both"/>
    </w:pPr>
    <w:rPr>
      <w:szCs w:val="20"/>
    </w:rPr>
  </w:style>
  <w:style w:type="paragraph" w:customStyle="1" w:styleId="Encabezadodelatabla">
    <w:name w:val="Encabezado de la tabla"/>
    <w:basedOn w:val="Contenidodelatabla"/>
    <w:pPr>
      <w:jc w:val="center"/>
    </w:pPr>
    <w:rPr>
      <w:b/>
      <w:bCs/>
    </w:rPr>
  </w:style>
  <w:style w:type="character" w:customStyle="1" w:styleId="Ttulo2Car">
    <w:name w:val="Título 2 Car"/>
    <w:link w:val="Ttulo2"/>
    <w:rPr>
      <w:rFonts w:ascii="Arial" w:hAnsi="Arial"/>
      <w:b/>
      <w:szCs w:val="36"/>
    </w:rPr>
  </w:style>
  <w:style w:type="paragraph" w:customStyle="1" w:styleId="Listavistosa-nfasis11">
    <w:name w:val="Lista vistosa - Énfasis 11"/>
    <w:basedOn w:val="Normal"/>
    <w:uiPriority w:val="34"/>
    <w:qFormat/>
    <w:pPr>
      <w:suppressAutoHyphens/>
      <w:spacing w:line="480" w:lineRule="auto"/>
      <w:ind w:left="720"/>
      <w:contextualSpacing/>
      <w:jc w:val="both"/>
    </w:pPr>
    <w:rPr>
      <w:szCs w:val="20"/>
    </w:rPr>
  </w:style>
  <w:style w:type="character" w:customStyle="1" w:styleId="TextodegloboCar">
    <w:name w:val="Texto de globo Car"/>
    <w:basedOn w:val="Fuentedeprrafopredeter"/>
    <w:link w:val="Textodeglobo"/>
    <w:uiPriority w:val="99"/>
    <w:semiHidden/>
    <w:rPr>
      <w:rFonts w:ascii="Tahoma" w:hAnsi="Tahoma"/>
      <w:sz w:val="16"/>
      <w:szCs w:val="16"/>
      <w:lang w:val="zh-CN" w:eastAsia="ar-SA"/>
    </w:rPr>
  </w:style>
  <w:style w:type="character" w:customStyle="1" w:styleId="Ttulo1Car">
    <w:name w:val="Título 1 Car"/>
    <w:link w:val="Ttulo1"/>
    <w:rPr>
      <w:rFonts w:ascii="Arial" w:hAnsi="Arial"/>
      <w:b/>
      <w:szCs w:val="48"/>
    </w:rPr>
  </w:style>
  <w:style w:type="character" w:customStyle="1" w:styleId="Ttulo3Car">
    <w:name w:val="Título 3 Car"/>
    <w:link w:val="Ttulo3"/>
    <w:rPr>
      <w:b/>
      <w:szCs w:val="28"/>
    </w:rPr>
  </w:style>
  <w:style w:type="character" w:customStyle="1" w:styleId="Ttulo4Car">
    <w:name w:val="Título 4 Car"/>
    <w:link w:val="Ttulo4"/>
    <w:rPr>
      <w:b/>
      <w:i/>
    </w:rPr>
  </w:style>
  <w:style w:type="character" w:customStyle="1" w:styleId="Ttulo5Car">
    <w:name w:val="Título 5 Car"/>
    <w:link w:val="Ttulo5"/>
    <w:rPr>
      <w:b/>
      <w:sz w:val="22"/>
      <w:szCs w:val="22"/>
    </w:rPr>
  </w:style>
  <w:style w:type="character" w:customStyle="1" w:styleId="Ttulo6Car">
    <w:name w:val="Título 6 Car"/>
    <w:link w:val="Ttulo6"/>
    <w:rPr>
      <w:b/>
      <w:sz w:val="20"/>
      <w:szCs w:val="20"/>
    </w:rPr>
  </w:style>
  <w:style w:type="table" w:customStyle="1" w:styleId="Listaclara1">
    <w:name w:val="Lista clara1"/>
    <w:basedOn w:val="Tabla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extonotapieCar">
    <w:name w:val="Texto nota pie Car"/>
    <w:basedOn w:val="Fuentedeprrafopredeter"/>
    <w:link w:val="Textonotapie"/>
    <w:uiPriority w:val="99"/>
    <w:semiHidden/>
    <w:rPr>
      <w:rFonts w:ascii="Arial" w:hAnsi="Arial"/>
      <w:szCs w:val="20"/>
      <w:lang w:val="es-ES" w:eastAsia="ar-SA"/>
    </w:rPr>
  </w:style>
  <w:style w:type="character" w:customStyle="1" w:styleId="TextocomentarioCar">
    <w:name w:val="Texto comentario Car"/>
    <w:basedOn w:val="Fuentedeprrafopredeter"/>
    <w:link w:val="Textocomentario"/>
    <w:uiPriority w:val="99"/>
    <w:rPr>
      <w:rFonts w:ascii="Arial" w:hAnsi="Arial"/>
      <w:szCs w:val="20"/>
      <w:lang w:val="es-ES" w:eastAsia="ar-SA"/>
    </w:rPr>
  </w:style>
  <w:style w:type="character" w:customStyle="1" w:styleId="AsuntodelcomentarioCar">
    <w:name w:val="Asunto del comentario Car"/>
    <w:basedOn w:val="TextocomentarioCar"/>
    <w:link w:val="Asuntodelcomentario"/>
    <w:uiPriority w:val="99"/>
    <w:semiHidden/>
    <w:rPr>
      <w:rFonts w:ascii="Arial" w:hAnsi="Arial"/>
      <w:b/>
      <w:bCs/>
      <w:szCs w:val="20"/>
      <w:lang w:val="es-ES" w:eastAsia="ar-SA"/>
    </w:rPr>
  </w:style>
  <w:style w:type="character" w:customStyle="1" w:styleId="apple-converted-space">
    <w:name w:val="apple-converted-space"/>
  </w:style>
  <w:style w:type="paragraph" w:customStyle="1" w:styleId="centrado">
    <w:name w:val="centrado"/>
    <w:basedOn w:val="Normal"/>
    <w:pPr>
      <w:spacing w:before="100" w:beforeAutospacing="1" w:after="100" w:afterAutospacing="1" w:line="480" w:lineRule="auto"/>
      <w:jc w:val="both"/>
    </w:pPr>
    <w:rPr>
      <w:szCs w:val="20"/>
    </w:rPr>
  </w:style>
  <w:style w:type="paragraph" w:styleId="Prrafodelista">
    <w:name w:val="List Paragraph"/>
    <w:basedOn w:val="Normal"/>
    <w:link w:val="PrrafodelistaCar"/>
    <w:uiPriority w:val="34"/>
    <w:qFormat/>
    <w:pPr>
      <w:spacing w:after="200" w:line="276" w:lineRule="auto"/>
      <w:ind w:left="720"/>
      <w:contextualSpacing/>
      <w:jc w:val="both"/>
    </w:pPr>
    <w:rPr>
      <w:rFonts w:ascii="Calibri" w:eastAsia="Calibri" w:hAnsi="Calibri"/>
      <w:sz w:val="26"/>
      <w:szCs w:val="22"/>
      <w:lang w:eastAsia="en-US"/>
    </w:rPr>
  </w:style>
  <w:style w:type="paragraph" w:customStyle="1" w:styleId="Prrafodelista1">
    <w:name w:val="Párrafo de lista1"/>
    <w:basedOn w:val="Normal"/>
    <w:uiPriority w:val="34"/>
    <w:qFormat/>
    <w:pPr>
      <w:spacing w:after="200" w:line="276" w:lineRule="auto"/>
      <w:ind w:left="720"/>
      <w:contextualSpacing/>
      <w:jc w:val="both"/>
    </w:pPr>
    <w:rPr>
      <w:rFonts w:ascii="Calibri" w:eastAsia="Calibri" w:hAnsi="Calibri" w:cs="Tinos"/>
      <w:sz w:val="26"/>
      <w:szCs w:val="22"/>
      <w:lang w:eastAsia="en-US"/>
    </w:rPr>
  </w:style>
  <w:style w:type="paragraph" w:customStyle="1" w:styleId="TltuloRomano1">
    <w:name w:val="Tíltulo Romano 1"/>
    <w:basedOn w:val="Normal"/>
    <w:next w:val="Normal"/>
    <w:pPr>
      <w:numPr>
        <w:numId w:val="2"/>
      </w:numPr>
      <w:spacing w:after="160" w:line="259" w:lineRule="auto"/>
      <w:contextualSpacing/>
      <w:jc w:val="both"/>
    </w:pPr>
    <w:rPr>
      <w:rFonts w:ascii="Calibri" w:eastAsia="Calibri" w:hAnsi="Calibri" w:cs="Calibri"/>
      <w:b/>
      <w:sz w:val="26"/>
      <w:szCs w:val="26"/>
      <w:lang w:eastAsia="en-US"/>
    </w:rPr>
  </w:style>
  <w:style w:type="paragraph" w:customStyle="1" w:styleId="TituloRomano1">
    <w:name w:val="Titulo Romano 1"/>
    <w:basedOn w:val="TltuloRomano1"/>
    <w:next w:val="Normal"/>
    <w:link w:val="TituloRomano1Car"/>
    <w:qFormat/>
    <w:pPr>
      <w:ind w:left="426" w:hanging="426"/>
    </w:pPr>
    <w:rPr>
      <w:rFonts w:cs="Times New Roman"/>
      <w:lang w:eastAsia="zh-CN"/>
    </w:rPr>
  </w:style>
  <w:style w:type="character" w:customStyle="1" w:styleId="TituloRomano1Car">
    <w:name w:val="Titulo Romano 1 Car"/>
    <w:link w:val="TituloRomano1"/>
    <w:rPr>
      <w:rFonts w:ascii="Calibri" w:eastAsia="Calibri" w:hAnsi="Calibri"/>
      <w:b/>
      <w:sz w:val="26"/>
      <w:szCs w:val="26"/>
      <w:lang w:eastAsia="zh-CN"/>
    </w:rPr>
  </w:style>
  <w:style w:type="paragraph" w:customStyle="1" w:styleId="TtuloRomano2">
    <w:name w:val="Título Romano 2"/>
    <w:basedOn w:val="TltuloRomano1"/>
    <w:link w:val="TtuloRomano2Car"/>
    <w:qFormat/>
    <w:pPr>
      <w:numPr>
        <w:numId w:val="3"/>
      </w:numPr>
      <w:spacing w:before="120" w:after="120" w:line="240" w:lineRule="auto"/>
      <w:ind w:left="714" w:hanging="357"/>
    </w:pPr>
    <w:rPr>
      <w:rFonts w:cs="Times New Roman"/>
      <w:b w:val="0"/>
      <w:lang w:eastAsia="zh-CN"/>
    </w:rPr>
  </w:style>
  <w:style w:type="character" w:customStyle="1" w:styleId="TtuloRomano2Car">
    <w:name w:val="Título Romano 2 Car"/>
    <w:link w:val="TtuloRomano2"/>
    <w:rPr>
      <w:rFonts w:ascii="Calibri" w:eastAsia="Calibri" w:hAnsi="Calibri"/>
      <w:sz w:val="26"/>
      <w:szCs w:val="26"/>
      <w:lang w:eastAsia="zh-CN"/>
    </w:rPr>
  </w:style>
  <w:style w:type="paragraph" w:customStyle="1" w:styleId="TtuloTDC1">
    <w:name w:val="Título TDC1"/>
    <w:basedOn w:val="Ttulo1"/>
    <w:next w:val="Normal"/>
    <w:uiPriority w:val="39"/>
    <w:unhideWhenUsed/>
    <w:qFormat/>
    <w:pPr>
      <w:tabs>
        <w:tab w:val="left" w:pos="1190"/>
      </w:tabs>
      <w:spacing w:before="240" w:line="259" w:lineRule="auto"/>
      <w:outlineLvl w:val="9"/>
    </w:pPr>
    <w:rPr>
      <w:rFonts w:ascii="Calibri Light" w:hAnsi="Calibri Light"/>
      <w:b w:val="0"/>
      <w:bCs/>
      <w:color w:val="2F5496"/>
      <w:sz w:val="32"/>
      <w:szCs w:val="32"/>
    </w:rPr>
  </w:style>
  <w:style w:type="paragraph" w:styleId="Sinespaciado">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PrrafodelistaCar">
    <w:name w:val="Párrafo de lista Car"/>
    <w:link w:val="Prrafodelista"/>
    <w:uiPriority w:val="34"/>
    <w:qFormat/>
    <w:rPr>
      <w:rFonts w:ascii="Calibri" w:eastAsia="Calibri" w:hAnsi="Calibri"/>
      <w:sz w:val="26"/>
      <w:szCs w:val="22"/>
      <w:lang w:eastAsia="en-US"/>
    </w:rPr>
  </w:style>
  <w:style w:type="character" w:customStyle="1" w:styleId="hgkelc">
    <w:name w:val="hgkelc"/>
  </w:style>
  <w:style w:type="character" w:customStyle="1" w:styleId="Mencinsinresolver1">
    <w:name w:val="Mención sin resolver1"/>
    <w:uiPriority w:val="99"/>
    <w:semiHidden/>
    <w:unhideWhenUsed/>
    <w:rPr>
      <w:color w:val="605E5C"/>
      <w:shd w:val="clear" w:color="auto" w:fill="E1DFDD"/>
    </w:rPr>
  </w:style>
  <w:style w:type="table" w:customStyle="1" w:styleId="Tablaconcuadrcula4-nfasis61">
    <w:name w:val="Tabla con cuadrícula 4 - Énfasis 61"/>
    <w:basedOn w:val="Tablanormal"/>
    <w:uiPriority w:val="49"/>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Tablas">
    <w:name w:val="Tablas"/>
    <w:basedOn w:val="Descripcin"/>
    <w:link w:val="TablasCar"/>
    <w:qFormat/>
    <w:pPr>
      <w:spacing w:before="120" w:after="320"/>
    </w:pPr>
    <w:rPr>
      <w:color w:val="auto"/>
      <w:sz w:val="20"/>
    </w:rPr>
  </w:style>
  <w:style w:type="table" w:customStyle="1" w:styleId="Estilo3">
    <w:name w:val="Estilo3"/>
    <w:basedOn w:val="Tablanormal"/>
    <w:uiPriority w:val="99"/>
    <w:rPr>
      <w:sz w:val="22"/>
    </w:rPr>
    <w:tblPr/>
  </w:style>
  <w:style w:type="character" w:customStyle="1" w:styleId="DescripcinCar">
    <w:name w:val="Descripción Car"/>
    <w:basedOn w:val="Fuentedeprrafopredeter"/>
    <w:link w:val="Descripcin"/>
    <w:uiPriority w:val="35"/>
    <w:rPr>
      <w:i/>
      <w:iCs/>
      <w:color w:val="1F497D" w:themeColor="text2"/>
      <w:sz w:val="18"/>
      <w:szCs w:val="18"/>
    </w:rPr>
  </w:style>
  <w:style w:type="character" w:customStyle="1" w:styleId="TablasCar">
    <w:name w:val="Tablas Car"/>
    <w:basedOn w:val="DescripcinCar"/>
    <w:link w:val="Tablas"/>
    <w:rPr>
      <w:i/>
      <w:iCs/>
      <w:color w:val="1F497D" w:themeColor="text2"/>
      <w:sz w:val="20"/>
      <w:szCs w:val="18"/>
    </w:rPr>
  </w:style>
  <w:style w:type="table" w:customStyle="1" w:styleId="Estilo4">
    <w:name w:val="Estilo4"/>
    <w:basedOn w:val="Tablanormal"/>
    <w:uiPriority w:val="99"/>
    <w:tblPr/>
  </w:style>
  <w:style w:type="paragraph" w:customStyle="1" w:styleId="TableParagraph">
    <w:name w:val="Table Paragraph"/>
    <w:basedOn w:val="Normal"/>
    <w:uiPriority w:val="1"/>
    <w:qFormat/>
    <w:pPr>
      <w:widowControl w:val="0"/>
      <w:autoSpaceDE w:val="0"/>
      <w:autoSpaceDN w:val="0"/>
    </w:pPr>
    <w:rPr>
      <w:rFonts w:ascii="Arial MT" w:eastAsia="Arial MT" w:hAnsi="Arial MT" w:cs="Arial MT"/>
      <w:sz w:val="22"/>
      <w:szCs w:val="22"/>
      <w:lang w:val="es-ES" w:eastAsia="en-US"/>
    </w:rPr>
  </w:style>
  <w:style w:type="character" w:customStyle="1" w:styleId="PiedepginaCar1">
    <w:name w:val="Pie de página Car1"/>
    <w:basedOn w:val="Fuentedeprrafopredeter"/>
    <w:rPr>
      <w:sz w:val="24"/>
      <w:szCs w:val="24"/>
      <w:lang w:eastAsia="zh-CN"/>
    </w:rPr>
  </w:style>
  <w:style w:type="character" w:customStyle="1" w:styleId="Fuentedeprrafopredeter4">
    <w:name w:val="Fuente de párrafo predeter.4"/>
  </w:style>
  <w:style w:type="paragraph" w:customStyle="1" w:styleId="Estilopredeterminado">
    <w:name w:val="Estilo predeterminado"/>
    <w:pPr>
      <w:widowControl w:val="0"/>
      <w:suppressAutoHyphens/>
      <w:spacing w:after="160" w:line="259" w:lineRule="auto"/>
      <w:textAlignment w:val="baseline"/>
    </w:pPr>
    <w:rPr>
      <w:rFonts w:eastAsia="SimSun" w:cs="Mangal"/>
      <w:sz w:val="24"/>
      <w:szCs w:val="24"/>
      <w:lang w:eastAsia="zh-CN" w:bidi="hi-IN"/>
    </w:rPr>
  </w:style>
  <w:style w:type="character" w:customStyle="1" w:styleId="Muydestacado">
    <w:name w:val="Muy destacado"/>
    <w:rPr>
      <w:b/>
      <w:bCs/>
    </w:rPr>
  </w:style>
  <w:style w:type="character" w:customStyle="1" w:styleId="EnlacedeInternet">
    <w:name w:val="Enlace de Internet"/>
    <w:rPr>
      <w:color w:val="000080"/>
      <w:u w:val="single"/>
    </w:rPr>
  </w:style>
  <w:style w:type="paragraph" w:customStyle="1" w:styleId="Cuerpodetexto">
    <w:name w:val="Cuerpo de texto"/>
    <w:basedOn w:val="Normal"/>
    <w:pPr>
      <w:suppressAutoHyphens/>
      <w:spacing w:after="140" w:line="276" w:lineRule="auto"/>
    </w:pPr>
    <w:rPr>
      <w:rFonts w:ascii="Calibri" w:eastAsia="Calibri" w:hAnsi="Calibri" w:cs="Tahoma"/>
      <w:sz w:val="22"/>
      <w:szCs w:val="22"/>
      <w:lang w:eastAsia="en-US"/>
    </w:rPr>
  </w:style>
  <w:style w:type="paragraph" w:customStyle="1" w:styleId="LO-normal">
    <w:name w:val="LO-normal"/>
    <w:qFormat/>
    <w:pPr>
      <w:suppressAutoHyphens/>
      <w:spacing w:after="160" w:line="259" w:lineRule="auto"/>
    </w:pPr>
    <w:rPr>
      <w:rFonts w:ascii="Calibri" w:eastAsia="Calibri" w:hAnsi="Calibri" w:cs="Calibri"/>
      <w:sz w:val="22"/>
      <w:szCs w:val="22"/>
      <w:lang w:eastAsia="zh-CN" w:bidi="hi-IN"/>
    </w:rPr>
  </w:style>
  <w:style w:type="paragraph" w:styleId="TtuloTDC">
    <w:name w:val="TOC Heading"/>
    <w:basedOn w:val="Ttulo1"/>
    <w:next w:val="Normal"/>
    <w:uiPriority w:val="39"/>
    <w:unhideWhenUsed/>
    <w:qFormat/>
    <w:rsid w:val="000C1C1B"/>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Gre16</b:Tag>
    <b:SourceType>Misc</b:SourceType>
    <b:Guid>{EA2DDA28-7FE9-4283-9B33-2715DADA659C}</b:Guid>
    <b:Title>Manual de usuario módulo de Contabilidad Finanzas Plus</b:Title>
    <b:Year>2016</b:Year>
    <b:Publisher>Versión 7</b:Publisher>
    <b:Author>
      <b:Author>
        <b:NameList>
          <b:Person>
            <b:Last>Horizon</b:Last>
            <b:First>Green</b:First>
          </b:Person>
        </b:NameList>
      </b:Author>
    </b:Author>
    <b:Month>06</b:Month>
    <b:Day>28</b:Day>
    <b:RefOrder>1</b:RefOrder>
  </b:Source>
</b:Sources>
</file>

<file path=customXml/itemProps1.xml><?xml version="1.0" encoding="utf-8"?>
<ds:datastoreItem xmlns:ds="http://schemas.openxmlformats.org/officeDocument/2006/customXml" ds:itemID="{7048FC6A-0878-40DC-AEF7-FB38FDAE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5170</Words>
  <Characters>28439</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Hacienda</dc:creator>
  <cp:lastModifiedBy>Alejandro Ferrer</cp:lastModifiedBy>
  <cp:revision>2</cp:revision>
  <cp:lastPrinted>2021-09-22T13:56:00Z</cp:lastPrinted>
  <dcterms:created xsi:type="dcterms:W3CDTF">2026-01-30T22:44:00Z</dcterms:created>
  <dcterms:modified xsi:type="dcterms:W3CDTF">2026-01-30T22:44:00Z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3082-12.2.0.13431</vt:lpwstr>
  </property>
  <property fmtid="{D5CDD505-2E9C-101B-9397-08002B2CF9AE}" pid="3" name="ICV">
    <vt:lpwstr>31283DFE5F964994905F64519E54E0AC_12</vt:lpwstr>
  </property>
</Properties>
</file>