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8405" w14:textId="77777777" w:rsidR="00906777" w:rsidRDefault="00906777" w:rsidP="00C93704">
      <w:pPr>
        <w:pStyle w:val="Ttulo"/>
      </w:pPr>
    </w:p>
    <w:p w14:paraId="6F9B6817" w14:textId="65B2BF8E" w:rsidR="007B0AAF" w:rsidRPr="00610FA3" w:rsidRDefault="00C93704" w:rsidP="00C93704">
      <w:pPr>
        <w:pStyle w:val="Ttulo"/>
        <w:rPr>
          <w:rFonts w:ascii="Arial" w:hAnsi="Arial" w:cs="Arial"/>
          <w:color w:val="auto"/>
          <w:sz w:val="40"/>
          <w:szCs w:val="40"/>
        </w:rPr>
      </w:pPr>
      <w:r w:rsidRPr="00610FA3">
        <w:rPr>
          <w:rFonts w:ascii="Arial" w:hAnsi="Arial" w:cs="Arial"/>
          <w:color w:val="auto"/>
          <w:sz w:val="40"/>
          <w:szCs w:val="40"/>
        </w:rPr>
        <w:t>plan estrategico</w:t>
      </w:r>
      <w:r w:rsidR="00906777" w:rsidRPr="00610FA3">
        <w:rPr>
          <w:rFonts w:ascii="Arial" w:hAnsi="Arial" w:cs="Arial"/>
          <w:color w:val="auto"/>
          <w:sz w:val="40"/>
          <w:szCs w:val="40"/>
        </w:rPr>
        <w:t xml:space="preserve"> de </w:t>
      </w:r>
      <w:r w:rsidR="007B0AAF" w:rsidRPr="00610FA3">
        <w:rPr>
          <w:rFonts w:ascii="Arial" w:hAnsi="Arial" w:cs="Arial"/>
          <w:color w:val="auto"/>
          <w:sz w:val="40"/>
          <w:szCs w:val="40"/>
        </w:rPr>
        <w:br/>
      </w:r>
      <w:r w:rsidR="00906777" w:rsidRPr="00610FA3">
        <w:rPr>
          <w:rFonts w:ascii="Arial" w:hAnsi="Arial" w:cs="Arial"/>
          <w:color w:val="auto"/>
          <w:sz w:val="40"/>
          <w:szCs w:val="40"/>
        </w:rPr>
        <w:t xml:space="preserve">seguridad </w:t>
      </w:r>
      <w:r w:rsidRPr="00610FA3">
        <w:rPr>
          <w:rFonts w:ascii="Arial" w:hAnsi="Arial" w:cs="Arial"/>
          <w:color w:val="auto"/>
          <w:sz w:val="40"/>
          <w:szCs w:val="40"/>
        </w:rPr>
        <w:t xml:space="preserve">y privacidad </w:t>
      </w:r>
      <w:r w:rsidR="00906777" w:rsidRPr="00610FA3">
        <w:rPr>
          <w:rFonts w:ascii="Arial" w:hAnsi="Arial" w:cs="Arial"/>
          <w:color w:val="auto"/>
          <w:sz w:val="40"/>
          <w:szCs w:val="40"/>
        </w:rPr>
        <w:t>de la Información</w:t>
      </w:r>
      <w:r w:rsidR="00D30D66" w:rsidRPr="00610FA3">
        <w:rPr>
          <w:rFonts w:ascii="Arial" w:hAnsi="Arial" w:cs="Arial"/>
          <w:color w:val="auto"/>
          <w:sz w:val="40"/>
          <w:szCs w:val="40"/>
        </w:rPr>
        <w:br/>
        <w:t>PESI</w:t>
      </w:r>
    </w:p>
    <w:p w14:paraId="55A373F8" w14:textId="77777777" w:rsidR="007B0AAF" w:rsidRPr="00610FA3" w:rsidRDefault="007B0AAF" w:rsidP="00C93704">
      <w:pPr>
        <w:pStyle w:val="Ttulo"/>
        <w:rPr>
          <w:rFonts w:ascii="Arial" w:hAnsi="Arial" w:cs="Arial"/>
          <w:color w:val="auto"/>
          <w:sz w:val="40"/>
          <w:szCs w:val="40"/>
        </w:rPr>
      </w:pPr>
    </w:p>
    <w:p w14:paraId="200F98BB" w14:textId="77777777" w:rsidR="007B0AAF" w:rsidRPr="00610FA3" w:rsidRDefault="007B0AAF" w:rsidP="00C93704">
      <w:pPr>
        <w:pStyle w:val="Ttulo"/>
        <w:rPr>
          <w:rFonts w:ascii="Arial" w:hAnsi="Arial" w:cs="Arial"/>
          <w:color w:val="auto"/>
          <w:sz w:val="40"/>
          <w:szCs w:val="40"/>
        </w:rPr>
      </w:pPr>
    </w:p>
    <w:p w14:paraId="4A0B70F4" w14:textId="77777777" w:rsidR="007B0AAF" w:rsidRPr="00610FA3" w:rsidRDefault="007B0AAF" w:rsidP="00D30D66">
      <w:pPr>
        <w:pStyle w:val="Ttulo"/>
        <w:jc w:val="left"/>
        <w:rPr>
          <w:rFonts w:ascii="Arial" w:hAnsi="Arial" w:cs="Arial"/>
          <w:color w:val="auto"/>
          <w:sz w:val="40"/>
          <w:szCs w:val="40"/>
        </w:rPr>
      </w:pPr>
    </w:p>
    <w:p w14:paraId="798D4EEB" w14:textId="77777777" w:rsidR="007B0AAF" w:rsidRPr="00610FA3" w:rsidRDefault="007B0AAF" w:rsidP="00C93704">
      <w:pPr>
        <w:pStyle w:val="Ttulo"/>
        <w:rPr>
          <w:rFonts w:ascii="Arial" w:hAnsi="Arial" w:cs="Arial"/>
          <w:color w:val="auto"/>
          <w:sz w:val="40"/>
          <w:szCs w:val="40"/>
        </w:rPr>
      </w:pPr>
    </w:p>
    <w:p w14:paraId="26BC776B" w14:textId="77777777" w:rsidR="007B0AAF" w:rsidRPr="00610FA3" w:rsidRDefault="007B0AAF" w:rsidP="00C93704">
      <w:pPr>
        <w:pStyle w:val="Ttulo"/>
        <w:rPr>
          <w:rFonts w:ascii="Arial" w:hAnsi="Arial" w:cs="Arial"/>
          <w:color w:val="auto"/>
          <w:sz w:val="40"/>
          <w:szCs w:val="40"/>
        </w:rPr>
      </w:pPr>
      <w:r w:rsidRPr="00610FA3">
        <w:rPr>
          <w:rFonts w:ascii="Arial" w:hAnsi="Arial" w:cs="Arial"/>
          <w:color w:val="auto"/>
          <w:sz w:val="40"/>
          <w:szCs w:val="40"/>
        </w:rPr>
        <w:t>alcaldía de armenia</w:t>
      </w:r>
    </w:p>
    <w:p w14:paraId="105516DA" w14:textId="77777777" w:rsidR="007B0AAF" w:rsidRPr="00610FA3" w:rsidRDefault="007B0AAF" w:rsidP="00C93704">
      <w:pPr>
        <w:pStyle w:val="Ttulo"/>
        <w:rPr>
          <w:rFonts w:ascii="Arial" w:hAnsi="Arial" w:cs="Arial"/>
          <w:color w:val="auto"/>
          <w:sz w:val="40"/>
          <w:szCs w:val="40"/>
        </w:rPr>
      </w:pPr>
    </w:p>
    <w:p w14:paraId="44010B66" w14:textId="77777777" w:rsidR="007B0AAF" w:rsidRPr="00610FA3" w:rsidRDefault="007B0AAF" w:rsidP="00C93704">
      <w:pPr>
        <w:pStyle w:val="Ttulo"/>
        <w:rPr>
          <w:rFonts w:ascii="Arial" w:hAnsi="Arial" w:cs="Arial"/>
          <w:color w:val="auto"/>
          <w:sz w:val="40"/>
          <w:szCs w:val="40"/>
        </w:rPr>
      </w:pPr>
    </w:p>
    <w:p w14:paraId="0069DF9C" w14:textId="77777777" w:rsidR="007B0AAF" w:rsidRPr="00610FA3" w:rsidRDefault="007B0AAF" w:rsidP="00C93704">
      <w:pPr>
        <w:pStyle w:val="Ttulo"/>
        <w:rPr>
          <w:rFonts w:ascii="Arial" w:hAnsi="Arial" w:cs="Arial"/>
          <w:color w:val="auto"/>
          <w:sz w:val="40"/>
          <w:szCs w:val="40"/>
        </w:rPr>
      </w:pPr>
    </w:p>
    <w:p w14:paraId="69CF20F7" w14:textId="77777777" w:rsidR="007B0AAF" w:rsidRPr="00610FA3" w:rsidRDefault="007B0AAF" w:rsidP="00D60DC0">
      <w:pPr>
        <w:pStyle w:val="Ttulo"/>
        <w:jc w:val="left"/>
        <w:rPr>
          <w:rFonts w:ascii="Arial" w:hAnsi="Arial" w:cs="Arial"/>
          <w:color w:val="auto"/>
          <w:sz w:val="40"/>
          <w:szCs w:val="40"/>
        </w:rPr>
      </w:pPr>
    </w:p>
    <w:p w14:paraId="4672A07B" w14:textId="77777777" w:rsidR="007B0AAF" w:rsidRPr="00610FA3" w:rsidRDefault="007B0AAF" w:rsidP="00C93704">
      <w:pPr>
        <w:pStyle w:val="Ttulo"/>
        <w:rPr>
          <w:rFonts w:ascii="Arial" w:hAnsi="Arial" w:cs="Arial"/>
          <w:color w:val="auto"/>
          <w:sz w:val="40"/>
          <w:szCs w:val="40"/>
        </w:rPr>
      </w:pPr>
    </w:p>
    <w:p w14:paraId="5BB5E72A" w14:textId="77777777" w:rsidR="007B0AAF" w:rsidRPr="00610FA3" w:rsidRDefault="007B0AAF" w:rsidP="00C93704">
      <w:pPr>
        <w:pStyle w:val="Ttulo"/>
        <w:rPr>
          <w:rFonts w:ascii="Arial" w:hAnsi="Arial" w:cs="Arial"/>
          <w:color w:val="auto"/>
          <w:sz w:val="40"/>
          <w:szCs w:val="40"/>
        </w:rPr>
      </w:pPr>
    </w:p>
    <w:p w14:paraId="0226A39C" w14:textId="69DFAAD5" w:rsidR="00060114" w:rsidRDefault="007B0AAF" w:rsidP="00C93704">
      <w:pPr>
        <w:pStyle w:val="Ttulo"/>
      </w:pPr>
      <w:r w:rsidRPr="00610FA3">
        <w:rPr>
          <w:rFonts w:ascii="Arial" w:hAnsi="Arial" w:cs="Arial"/>
          <w:color w:val="auto"/>
          <w:sz w:val="40"/>
          <w:szCs w:val="40"/>
        </w:rPr>
        <w:t>2025</w:t>
      </w:r>
      <w:r w:rsidR="00060114">
        <w:br w:type="page"/>
      </w:r>
    </w:p>
    <w:sdt>
      <w:sdtPr>
        <w:rPr>
          <w:rFonts w:ascii="Lato" w:eastAsiaTheme="minorHAnsi" w:hAnsi="Lato" w:cstheme="minorBidi"/>
          <w:b w:val="0"/>
          <w:bCs w:val="0"/>
          <w:color w:val="078930"/>
          <w:kern w:val="2"/>
          <w:sz w:val="24"/>
          <w:szCs w:val="22"/>
          <w:lang w:val="es-ES" w:eastAsia="en-US"/>
          <w14:ligatures w14:val="standardContextual"/>
        </w:rPr>
        <w:id w:val="-1721818677"/>
        <w:docPartObj>
          <w:docPartGallery w:val="Table of Contents"/>
          <w:docPartUnique/>
        </w:docPartObj>
      </w:sdtPr>
      <w:sdtEndPr>
        <w:rPr>
          <w:color w:val="auto"/>
        </w:rPr>
      </w:sdtEndPr>
      <w:sdtContent>
        <w:p w14:paraId="7F8E13DB" w14:textId="031BF9E4" w:rsidR="007B0AAF" w:rsidRPr="0023257D" w:rsidRDefault="007B0AAF" w:rsidP="00B32B7B">
          <w:pPr>
            <w:pStyle w:val="TtuloTDC"/>
            <w:jc w:val="center"/>
            <w:rPr>
              <w:rFonts w:ascii="Alexandria Medium" w:hAnsi="Alexandria Medium" w:cs="Alexandria Medium"/>
              <w:color w:val="078930"/>
              <w:sz w:val="24"/>
              <w:szCs w:val="24"/>
              <w:lang w:val="es-ES"/>
            </w:rPr>
          </w:pPr>
          <w:r w:rsidRPr="00B32B7B">
            <w:rPr>
              <w:rFonts w:ascii="Arial" w:hAnsi="Arial"/>
              <w:color w:val="auto"/>
              <w:sz w:val="28"/>
              <w:szCs w:val="28"/>
              <w:lang w:val="es-ES"/>
            </w:rPr>
            <w:t>Tabla de Contenido</w:t>
          </w:r>
          <w:r w:rsidR="0023257D">
            <w:rPr>
              <w:rFonts w:ascii="Alexandria Medium" w:hAnsi="Alexandria Medium" w:cs="Alexandria Medium"/>
              <w:color w:val="078930"/>
              <w:lang w:val="es-ES"/>
            </w:rPr>
            <w:br/>
          </w:r>
        </w:p>
        <w:p w14:paraId="29445CFB" w14:textId="43F2991C" w:rsidR="00423C8A" w:rsidRPr="00423C8A" w:rsidRDefault="007B0AAF" w:rsidP="00A17E2F">
          <w:pPr>
            <w:pStyle w:val="TDC1"/>
            <w:tabs>
              <w:tab w:val="right" w:leader="dot" w:pos="8828"/>
            </w:tabs>
            <w:spacing w:line="240" w:lineRule="auto"/>
            <w:rPr>
              <w:rFonts w:asciiTheme="minorHAnsi" w:eastAsiaTheme="minorEastAsia" w:hAnsiTheme="minorHAnsi"/>
              <w:noProof/>
              <w:sz w:val="20"/>
              <w:szCs w:val="20"/>
              <w:lang w:eastAsia="es-CO"/>
            </w:rPr>
          </w:pPr>
          <w:r w:rsidRPr="00423C8A">
            <w:rPr>
              <w:sz w:val="20"/>
              <w:szCs w:val="20"/>
            </w:rPr>
            <w:fldChar w:fldCharType="begin"/>
          </w:r>
          <w:r w:rsidRPr="00423C8A">
            <w:rPr>
              <w:sz w:val="20"/>
              <w:szCs w:val="20"/>
            </w:rPr>
            <w:instrText xml:space="preserve"> TOC \o "1-3" \h \z \u </w:instrText>
          </w:r>
          <w:r w:rsidRPr="00423C8A">
            <w:rPr>
              <w:sz w:val="20"/>
              <w:szCs w:val="20"/>
            </w:rPr>
            <w:fldChar w:fldCharType="separate"/>
          </w:r>
          <w:hyperlink w:anchor="_Toc211851410" w:history="1">
            <w:r w:rsidR="00423C8A" w:rsidRPr="00423C8A">
              <w:rPr>
                <w:rStyle w:val="Hipervnculo"/>
                <w:noProof/>
                <w:sz w:val="20"/>
                <w:szCs w:val="20"/>
              </w:rPr>
              <w:t>Introducción</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_Toc211851410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4</w:t>
            </w:r>
            <w:r w:rsidR="00423C8A" w:rsidRPr="00423C8A">
              <w:rPr>
                <w:noProof/>
                <w:webHidden/>
                <w:sz w:val="20"/>
                <w:szCs w:val="20"/>
              </w:rPr>
              <w:fldChar w:fldCharType="end"/>
            </w:r>
          </w:hyperlink>
        </w:p>
        <w:p w14:paraId="3EAFCAD2" w14:textId="11117D50"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11" w:history="1">
            <w:r w:rsidR="00423C8A" w:rsidRPr="00423C8A">
              <w:rPr>
                <w:rStyle w:val="Hipervnculo"/>
                <w:noProof/>
                <w:sz w:val="20"/>
                <w:szCs w:val="20"/>
              </w:rPr>
              <w:t>Objetivo</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_Toc211851411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4</w:t>
            </w:r>
            <w:r w:rsidR="00423C8A" w:rsidRPr="00423C8A">
              <w:rPr>
                <w:noProof/>
                <w:webHidden/>
                <w:sz w:val="20"/>
                <w:szCs w:val="20"/>
              </w:rPr>
              <w:fldChar w:fldCharType="end"/>
            </w:r>
          </w:hyperlink>
        </w:p>
        <w:p w14:paraId="7904B89F" w14:textId="2F7CFD79"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12" w:history="1">
            <w:r w:rsidR="00423C8A" w:rsidRPr="00423C8A">
              <w:rPr>
                <w:rStyle w:val="Hipervnculo"/>
                <w:noProof/>
                <w:sz w:val="20"/>
                <w:szCs w:val="20"/>
              </w:rPr>
              <w:t>Objetivo Específicos</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_Toc211851412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5</w:t>
            </w:r>
            <w:r w:rsidR="00423C8A" w:rsidRPr="00423C8A">
              <w:rPr>
                <w:noProof/>
                <w:webHidden/>
                <w:sz w:val="20"/>
                <w:szCs w:val="20"/>
              </w:rPr>
              <w:fldChar w:fldCharType="end"/>
            </w:r>
          </w:hyperlink>
        </w:p>
        <w:p w14:paraId="452B9FE7" w14:textId="5CEB8DB5"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13" w:history="1">
            <w:r w:rsidR="00423C8A" w:rsidRPr="00423C8A">
              <w:rPr>
                <w:rStyle w:val="Hipervnculo"/>
                <w:noProof/>
                <w:sz w:val="20"/>
                <w:szCs w:val="20"/>
              </w:rPr>
              <w:t>Alcance</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_Toc211851413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5</w:t>
            </w:r>
            <w:r w:rsidR="00423C8A" w:rsidRPr="00423C8A">
              <w:rPr>
                <w:noProof/>
                <w:webHidden/>
                <w:sz w:val="20"/>
                <w:szCs w:val="20"/>
              </w:rPr>
              <w:fldChar w:fldCharType="end"/>
            </w:r>
          </w:hyperlink>
        </w:p>
        <w:p w14:paraId="35A22960" w14:textId="7B2A6F07"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14" w:history="1">
            <w:r w:rsidR="00423C8A" w:rsidRPr="00423C8A">
              <w:rPr>
                <w:rStyle w:val="Hipervnculo"/>
                <w:noProof/>
                <w:sz w:val="20"/>
                <w:szCs w:val="20"/>
              </w:rPr>
              <w:t>Marco Normativo</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_Toc211851414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6</w:t>
            </w:r>
            <w:r w:rsidR="00423C8A" w:rsidRPr="00423C8A">
              <w:rPr>
                <w:noProof/>
                <w:webHidden/>
                <w:sz w:val="20"/>
                <w:szCs w:val="20"/>
              </w:rPr>
              <w:fldChar w:fldCharType="end"/>
            </w:r>
          </w:hyperlink>
        </w:p>
        <w:p w14:paraId="291A1427" w14:textId="5DCE9A07"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15" w:history="1">
            <w:r w:rsidR="00423C8A" w:rsidRPr="00423C8A">
              <w:rPr>
                <w:rStyle w:val="Hipervnculo"/>
                <w:noProof/>
                <w:sz w:val="20"/>
                <w:szCs w:val="20"/>
              </w:rPr>
              <w:t>Documentos De Referencia</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_Toc211851415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7</w:t>
            </w:r>
            <w:r w:rsidR="00423C8A" w:rsidRPr="00423C8A">
              <w:rPr>
                <w:noProof/>
                <w:webHidden/>
                <w:sz w:val="20"/>
                <w:szCs w:val="20"/>
              </w:rPr>
              <w:fldChar w:fldCharType="end"/>
            </w:r>
          </w:hyperlink>
        </w:p>
        <w:p w14:paraId="6883F28F" w14:textId="15460CFE"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16" w:history="1">
            <w:r w:rsidR="00423C8A" w:rsidRPr="00423C8A">
              <w:rPr>
                <w:rStyle w:val="Hipervnculo"/>
                <w:noProof/>
                <w:sz w:val="20"/>
                <w:szCs w:val="20"/>
              </w:rPr>
              <w:t>Estado actual de la entidad respecto al Sistema de Gestión de Seguridad de la Información (SGSI)</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_Toc211851416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7</w:t>
            </w:r>
            <w:r w:rsidR="00423C8A" w:rsidRPr="00423C8A">
              <w:rPr>
                <w:noProof/>
                <w:webHidden/>
                <w:sz w:val="20"/>
                <w:szCs w:val="20"/>
              </w:rPr>
              <w:fldChar w:fldCharType="end"/>
            </w:r>
          </w:hyperlink>
        </w:p>
        <w:p w14:paraId="28FD4259" w14:textId="6328C8C6"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17" w:history="1">
            <w:r w:rsidR="00423C8A" w:rsidRPr="00423C8A">
              <w:rPr>
                <w:rStyle w:val="Hipervnculo"/>
                <w:noProof/>
                <w:sz w:val="20"/>
                <w:szCs w:val="20"/>
              </w:rPr>
              <w:t>Estrategias para la Seguridad y Privacidad de la Información</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_Toc211851417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8</w:t>
            </w:r>
            <w:r w:rsidR="00423C8A" w:rsidRPr="00423C8A">
              <w:rPr>
                <w:noProof/>
                <w:webHidden/>
                <w:sz w:val="20"/>
                <w:szCs w:val="20"/>
              </w:rPr>
              <w:fldChar w:fldCharType="end"/>
            </w:r>
          </w:hyperlink>
        </w:p>
        <w:p w14:paraId="16E7277A" w14:textId="7D4613D7" w:rsidR="00423C8A" w:rsidRPr="00423C8A" w:rsidRDefault="00B32B7B" w:rsidP="00A17E2F">
          <w:pPr>
            <w:pStyle w:val="TDC2"/>
            <w:tabs>
              <w:tab w:val="right" w:leader="dot" w:pos="8828"/>
            </w:tabs>
            <w:spacing w:line="240" w:lineRule="auto"/>
            <w:rPr>
              <w:rFonts w:asciiTheme="minorHAnsi" w:eastAsiaTheme="minorEastAsia" w:hAnsiTheme="minorHAnsi"/>
              <w:noProof/>
              <w:sz w:val="20"/>
              <w:szCs w:val="20"/>
              <w:lang w:eastAsia="es-CO"/>
            </w:rPr>
          </w:pPr>
          <w:hyperlink w:anchor="_Toc211851418" w:history="1">
            <w:r w:rsidR="00423C8A" w:rsidRPr="00423C8A">
              <w:rPr>
                <w:rStyle w:val="Hipervnculo"/>
                <w:noProof/>
                <w:sz w:val="20"/>
                <w:szCs w:val="20"/>
              </w:rPr>
              <w:t>Estrategia 1. Gobernanza y gestión institucional de la seguridad de la información</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_Toc211851418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8</w:t>
            </w:r>
            <w:r w:rsidR="00423C8A" w:rsidRPr="00423C8A">
              <w:rPr>
                <w:noProof/>
                <w:webHidden/>
                <w:sz w:val="20"/>
                <w:szCs w:val="20"/>
              </w:rPr>
              <w:fldChar w:fldCharType="end"/>
            </w:r>
          </w:hyperlink>
        </w:p>
        <w:p w14:paraId="3CE23050" w14:textId="74DC5723" w:rsidR="00423C8A" w:rsidRPr="00423C8A" w:rsidRDefault="00B32B7B" w:rsidP="00A17E2F">
          <w:pPr>
            <w:pStyle w:val="TDC2"/>
            <w:tabs>
              <w:tab w:val="right" w:leader="dot" w:pos="8828"/>
            </w:tabs>
            <w:spacing w:line="240" w:lineRule="auto"/>
            <w:rPr>
              <w:rFonts w:asciiTheme="minorHAnsi" w:eastAsiaTheme="minorEastAsia" w:hAnsiTheme="minorHAnsi"/>
              <w:noProof/>
              <w:sz w:val="20"/>
              <w:szCs w:val="20"/>
              <w:lang w:eastAsia="es-CO"/>
            </w:rPr>
          </w:pPr>
          <w:hyperlink w:anchor="_Toc211851419" w:history="1">
            <w:r w:rsidR="00423C8A" w:rsidRPr="00423C8A">
              <w:rPr>
                <w:rStyle w:val="Hipervnculo"/>
                <w:noProof/>
                <w:sz w:val="20"/>
                <w:szCs w:val="20"/>
              </w:rPr>
              <w:t>Estrategia 2. Gestión integral del riesgo de seguridad y privacidad</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_Toc211851419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9</w:t>
            </w:r>
            <w:r w:rsidR="00423C8A" w:rsidRPr="00423C8A">
              <w:rPr>
                <w:noProof/>
                <w:webHidden/>
                <w:sz w:val="20"/>
                <w:szCs w:val="20"/>
              </w:rPr>
              <w:fldChar w:fldCharType="end"/>
            </w:r>
          </w:hyperlink>
        </w:p>
        <w:p w14:paraId="4C64415B" w14:textId="7AE40DD7" w:rsidR="00423C8A" w:rsidRPr="00423C8A" w:rsidRDefault="00B32B7B" w:rsidP="00A17E2F">
          <w:pPr>
            <w:pStyle w:val="TDC2"/>
            <w:tabs>
              <w:tab w:val="right" w:leader="dot" w:pos="8828"/>
            </w:tabs>
            <w:spacing w:line="240" w:lineRule="auto"/>
            <w:rPr>
              <w:rFonts w:asciiTheme="minorHAnsi" w:eastAsiaTheme="minorEastAsia" w:hAnsiTheme="minorHAnsi"/>
              <w:noProof/>
              <w:sz w:val="20"/>
              <w:szCs w:val="20"/>
              <w:lang w:eastAsia="es-CO"/>
            </w:rPr>
          </w:pPr>
          <w:hyperlink w:anchor="_Toc211851420" w:history="1">
            <w:r w:rsidR="00423C8A" w:rsidRPr="00423C8A">
              <w:rPr>
                <w:rStyle w:val="Hipervnculo"/>
                <w:noProof/>
                <w:sz w:val="20"/>
                <w:szCs w:val="20"/>
              </w:rPr>
              <w:t>Estrategia 3. Protección tecnológica y control de acceso</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_Toc211851420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9</w:t>
            </w:r>
            <w:r w:rsidR="00423C8A" w:rsidRPr="00423C8A">
              <w:rPr>
                <w:noProof/>
                <w:webHidden/>
                <w:sz w:val="20"/>
                <w:szCs w:val="20"/>
              </w:rPr>
              <w:fldChar w:fldCharType="end"/>
            </w:r>
          </w:hyperlink>
        </w:p>
        <w:p w14:paraId="3D2C2729" w14:textId="3AC00096" w:rsidR="00423C8A" w:rsidRPr="00423C8A" w:rsidRDefault="00B32B7B" w:rsidP="00A17E2F">
          <w:pPr>
            <w:pStyle w:val="TDC2"/>
            <w:tabs>
              <w:tab w:val="right" w:leader="dot" w:pos="8828"/>
            </w:tabs>
            <w:spacing w:line="240" w:lineRule="auto"/>
            <w:rPr>
              <w:rFonts w:asciiTheme="minorHAnsi" w:eastAsiaTheme="minorEastAsia" w:hAnsiTheme="minorHAnsi"/>
              <w:noProof/>
              <w:sz w:val="20"/>
              <w:szCs w:val="20"/>
              <w:lang w:eastAsia="es-CO"/>
            </w:rPr>
          </w:pPr>
          <w:hyperlink w:anchor="_Toc211851421" w:history="1">
            <w:r w:rsidR="00423C8A" w:rsidRPr="00423C8A">
              <w:rPr>
                <w:rStyle w:val="Hipervnculo"/>
                <w:noProof/>
                <w:sz w:val="20"/>
                <w:szCs w:val="20"/>
              </w:rPr>
              <w:t>Estrategia 4. Cultura institucional y capacitación continua</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_Toc211851421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10</w:t>
            </w:r>
            <w:r w:rsidR="00423C8A" w:rsidRPr="00423C8A">
              <w:rPr>
                <w:noProof/>
                <w:webHidden/>
                <w:sz w:val="20"/>
                <w:szCs w:val="20"/>
              </w:rPr>
              <w:fldChar w:fldCharType="end"/>
            </w:r>
          </w:hyperlink>
        </w:p>
        <w:p w14:paraId="61E72756" w14:textId="16DC2A68" w:rsidR="00423C8A" w:rsidRPr="00423C8A" w:rsidRDefault="00B32B7B" w:rsidP="00A17E2F">
          <w:pPr>
            <w:pStyle w:val="TDC2"/>
            <w:tabs>
              <w:tab w:val="right" w:leader="dot" w:pos="8828"/>
            </w:tabs>
            <w:spacing w:line="240" w:lineRule="auto"/>
            <w:rPr>
              <w:rFonts w:asciiTheme="minorHAnsi" w:eastAsiaTheme="minorEastAsia" w:hAnsiTheme="minorHAnsi"/>
              <w:noProof/>
              <w:sz w:val="20"/>
              <w:szCs w:val="20"/>
              <w:lang w:eastAsia="es-CO"/>
            </w:rPr>
          </w:pPr>
          <w:hyperlink w:anchor="_Toc211851422" w:history="1">
            <w:r w:rsidR="00423C8A" w:rsidRPr="00423C8A">
              <w:rPr>
                <w:rStyle w:val="Hipervnculo"/>
                <w:noProof/>
                <w:sz w:val="20"/>
                <w:szCs w:val="20"/>
              </w:rPr>
              <w:t>Estrategia 5. Protección de datos personales y privacidad</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_Toc211851422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10</w:t>
            </w:r>
            <w:r w:rsidR="00423C8A" w:rsidRPr="00423C8A">
              <w:rPr>
                <w:noProof/>
                <w:webHidden/>
                <w:sz w:val="20"/>
                <w:szCs w:val="20"/>
              </w:rPr>
              <w:fldChar w:fldCharType="end"/>
            </w:r>
          </w:hyperlink>
        </w:p>
        <w:p w14:paraId="7BDCE71B" w14:textId="7C59E5E7" w:rsidR="00423C8A" w:rsidRPr="00423C8A" w:rsidRDefault="00B32B7B" w:rsidP="00A17E2F">
          <w:pPr>
            <w:pStyle w:val="TDC2"/>
            <w:tabs>
              <w:tab w:val="right" w:leader="dot" w:pos="8828"/>
            </w:tabs>
            <w:spacing w:line="240" w:lineRule="auto"/>
            <w:rPr>
              <w:rFonts w:asciiTheme="minorHAnsi" w:eastAsiaTheme="minorEastAsia" w:hAnsiTheme="minorHAnsi"/>
              <w:noProof/>
              <w:sz w:val="20"/>
              <w:szCs w:val="20"/>
              <w:lang w:eastAsia="es-CO"/>
            </w:rPr>
          </w:pPr>
          <w:hyperlink w:anchor="_Toc211851423" w:history="1">
            <w:r w:rsidR="00423C8A" w:rsidRPr="00423C8A">
              <w:rPr>
                <w:rStyle w:val="Hipervnculo"/>
                <w:noProof/>
                <w:sz w:val="20"/>
                <w:szCs w:val="20"/>
              </w:rPr>
              <w:t>Estrategia 6. Evaluación y madurez del SGSI</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_Toc211851423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10</w:t>
            </w:r>
            <w:r w:rsidR="00423C8A" w:rsidRPr="00423C8A">
              <w:rPr>
                <w:noProof/>
                <w:webHidden/>
                <w:sz w:val="20"/>
                <w:szCs w:val="20"/>
              </w:rPr>
              <w:fldChar w:fldCharType="end"/>
            </w:r>
          </w:hyperlink>
        </w:p>
        <w:p w14:paraId="649AE0FB" w14:textId="66FC3B14"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24" w:history="1">
            <w:r w:rsidR="00423C8A" w:rsidRPr="00423C8A">
              <w:rPr>
                <w:rStyle w:val="Hipervnculo"/>
                <w:noProof/>
                <w:sz w:val="20"/>
                <w:szCs w:val="20"/>
              </w:rPr>
              <w:t>Productos Relacionados Con La Aplicación De Las Estrategias De Seguridad Y Privacidad De La Información</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_Toc211851424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11</w:t>
            </w:r>
            <w:r w:rsidR="00423C8A" w:rsidRPr="00423C8A">
              <w:rPr>
                <w:noProof/>
                <w:webHidden/>
                <w:sz w:val="20"/>
                <w:szCs w:val="20"/>
              </w:rPr>
              <w:fldChar w:fldCharType="end"/>
            </w:r>
          </w:hyperlink>
        </w:p>
        <w:p w14:paraId="24B5E5DC" w14:textId="64A48E54"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25" w:history="1">
            <w:r w:rsidR="00423C8A" w:rsidRPr="00423C8A">
              <w:rPr>
                <w:rStyle w:val="Hipervnculo"/>
                <w:noProof/>
                <w:sz w:val="20"/>
                <w:szCs w:val="20"/>
              </w:rPr>
              <w:t>Evaluación De Desempeño Del PESI</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_Toc211851425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13</w:t>
            </w:r>
            <w:r w:rsidR="00423C8A" w:rsidRPr="00423C8A">
              <w:rPr>
                <w:noProof/>
                <w:webHidden/>
                <w:sz w:val="20"/>
                <w:szCs w:val="20"/>
              </w:rPr>
              <w:fldChar w:fldCharType="end"/>
            </w:r>
          </w:hyperlink>
        </w:p>
        <w:p w14:paraId="713FF93E" w14:textId="3262B04B" w:rsidR="00423C8A" w:rsidRPr="00423C8A" w:rsidRDefault="00B32B7B" w:rsidP="00A17E2F">
          <w:pPr>
            <w:pStyle w:val="TDC2"/>
            <w:tabs>
              <w:tab w:val="right" w:leader="dot" w:pos="8828"/>
            </w:tabs>
            <w:spacing w:line="240" w:lineRule="auto"/>
            <w:rPr>
              <w:rFonts w:asciiTheme="minorHAnsi" w:eastAsiaTheme="minorEastAsia" w:hAnsiTheme="minorHAnsi"/>
              <w:noProof/>
              <w:sz w:val="20"/>
              <w:szCs w:val="20"/>
              <w:lang w:eastAsia="es-CO"/>
            </w:rPr>
          </w:pPr>
          <w:hyperlink w:anchor="_Toc211851426" w:history="1">
            <w:r w:rsidR="00423C8A" w:rsidRPr="00423C8A">
              <w:rPr>
                <w:rStyle w:val="Hipervnculo"/>
                <w:noProof/>
                <w:sz w:val="20"/>
                <w:szCs w:val="20"/>
              </w:rPr>
              <w:t>Metodología</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_Toc211851426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13</w:t>
            </w:r>
            <w:r w:rsidR="00423C8A" w:rsidRPr="00423C8A">
              <w:rPr>
                <w:noProof/>
                <w:webHidden/>
                <w:sz w:val="20"/>
                <w:szCs w:val="20"/>
              </w:rPr>
              <w:fldChar w:fldCharType="end"/>
            </w:r>
          </w:hyperlink>
        </w:p>
        <w:p w14:paraId="3E49B4F0" w14:textId="4230A275" w:rsidR="00423C8A" w:rsidRPr="00423C8A" w:rsidRDefault="00B32B7B" w:rsidP="00A17E2F">
          <w:pPr>
            <w:pStyle w:val="TDC2"/>
            <w:tabs>
              <w:tab w:val="right" w:leader="dot" w:pos="8828"/>
            </w:tabs>
            <w:spacing w:line="240" w:lineRule="auto"/>
            <w:rPr>
              <w:rFonts w:asciiTheme="minorHAnsi" w:eastAsiaTheme="minorEastAsia" w:hAnsiTheme="minorHAnsi"/>
              <w:noProof/>
              <w:sz w:val="20"/>
              <w:szCs w:val="20"/>
              <w:lang w:eastAsia="es-CO"/>
            </w:rPr>
          </w:pPr>
          <w:hyperlink w:anchor="_Toc211851427" w:history="1">
            <w:r w:rsidR="00423C8A" w:rsidRPr="00423C8A">
              <w:rPr>
                <w:rStyle w:val="Hipervnculo"/>
                <w:noProof/>
                <w:sz w:val="20"/>
                <w:szCs w:val="20"/>
              </w:rPr>
              <w:t>Procedimiento</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_Toc211851427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13</w:t>
            </w:r>
            <w:r w:rsidR="00423C8A" w:rsidRPr="00423C8A">
              <w:rPr>
                <w:noProof/>
                <w:webHidden/>
                <w:sz w:val="20"/>
                <w:szCs w:val="20"/>
              </w:rPr>
              <w:fldChar w:fldCharType="end"/>
            </w:r>
          </w:hyperlink>
        </w:p>
        <w:p w14:paraId="2CAF26F1" w14:textId="348198C3"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28" w:history="1">
            <w:r w:rsidR="00423C8A" w:rsidRPr="00423C8A">
              <w:rPr>
                <w:rStyle w:val="Hipervnculo"/>
                <w:noProof/>
                <w:sz w:val="20"/>
                <w:szCs w:val="20"/>
              </w:rPr>
              <w:t>Mejora Continua Del PESI</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_Toc211851428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14</w:t>
            </w:r>
            <w:r w:rsidR="00423C8A" w:rsidRPr="00423C8A">
              <w:rPr>
                <w:noProof/>
                <w:webHidden/>
                <w:sz w:val="20"/>
                <w:szCs w:val="20"/>
              </w:rPr>
              <w:fldChar w:fldCharType="end"/>
            </w:r>
          </w:hyperlink>
        </w:p>
        <w:p w14:paraId="5675B787" w14:textId="086137E2" w:rsidR="00423C8A" w:rsidRPr="00423C8A" w:rsidRDefault="00B32B7B" w:rsidP="00A17E2F">
          <w:pPr>
            <w:pStyle w:val="TDC2"/>
            <w:tabs>
              <w:tab w:val="right" w:leader="dot" w:pos="8828"/>
            </w:tabs>
            <w:spacing w:line="240" w:lineRule="auto"/>
            <w:rPr>
              <w:rFonts w:asciiTheme="minorHAnsi" w:eastAsiaTheme="minorEastAsia" w:hAnsiTheme="minorHAnsi"/>
              <w:noProof/>
              <w:sz w:val="20"/>
              <w:szCs w:val="20"/>
              <w:lang w:eastAsia="es-CO"/>
            </w:rPr>
          </w:pPr>
          <w:hyperlink w:anchor="_Toc211851429" w:history="1">
            <w:r w:rsidR="00423C8A" w:rsidRPr="00423C8A">
              <w:rPr>
                <w:rStyle w:val="Hipervnculo"/>
                <w:noProof/>
                <w:sz w:val="20"/>
                <w:szCs w:val="20"/>
              </w:rPr>
              <w:t>Lineamientos de Mejora Continua</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_Toc211851429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14</w:t>
            </w:r>
            <w:r w:rsidR="00423C8A" w:rsidRPr="00423C8A">
              <w:rPr>
                <w:noProof/>
                <w:webHidden/>
                <w:sz w:val="20"/>
                <w:szCs w:val="20"/>
              </w:rPr>
              <w:fldChar w:fldCharType="end"/>
            </w:r>
          </w:hyperlink>
        </w:p>
        <w:p w14:paraId="7D0E96EC" w14:textId="4A90B843"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30" w:history="1">
            <w:r w:rsidR="00423C8A" w:rsidRPr="00423C8A">
              <w:rPr>
                <w:rStyle w:val="Hipervnculo"/>
                <w:noProof/>
                <w:sz w:val="20"/>
                <w:szCs w:val="20"/>
              </w:rPr>
              <w:t>Responsables</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_Toc211851430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15</w:t>
            </w:r>
            <w:r w:rsidR="00423C8A" w:rsidRPr="00423C8A">
              <w:rPr>
                <w:noProof/>
                <w:webHidden/>
                <w:sz w:val="20"/>
                <w:szCs w:val="20"/>
              </w:rPr>
              <w:fldChar w:fldCharType="end"/>
            </w:r>
          </w:hyperlink>
        </w:p>
        <w:p w14:paraId="33C0D69E" w14:textId="0261D1A6"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31" w:history="1">
            <w:r w:rsidR="00423C8A" w:rsidRPr="00423C8A">
              <w:rPr>
                <w:rStyle w:val="Hipervnculo"/>
                <w:noProof/>
                <w:sz w:val="20"/>
                <w:szCs w:val="20"/>
              </w:rPr>
              <w:t>Articulación con la Política General de Seguridad de la Información</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_Toc211851431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15</w:t>
            </w:r>
            <w:r w:rsidR="00423C8A" w:rsidRPr="00423C8A">
              <w:rPr>
                <w:noProof/>
                <w:webHidden/>
                <w:sz w:val="20"/>
                <w:szCs w:val="20"/>
              </w:rPr>
              <w:fldChar w:fldCharType="end"/>
            </w:r>
          </w:hyperlink>
        </w:p>
        <w:p w14:paraId="07F6410C" w14:textId="0ECEE094" w:rsidR="00423C8A" w:rsidRPr="00423C8A" w:rsidRDefault="00B32B7B" w:rsidP="00A17E2F">
          <w:pPr>
            <w:pStyle w:val="TDC1"/>
            <w:tabs>
              <w:tab w:val="right" w:leader="dot" w:pos="8828"/>
            </w:tabs>
            <w:spacing w:line="240" w:lineRule="auto"/>
            <w:rPr>
              <w:rFonts w:asciiTheme="minorHAnsi" w:eastAsiaTheme="minorEastAsia" w:hAnsiTheme="minorHAnsi"/>
              <w:noProof/>
              <w:sz w:val="20"/>
              <w:szCs w:val="20"/>
              <w:lang w:eastAsia="es-CO"/>
            </w:rPr>
          </w:pPr>
          <w:hyperlink w:anchor="_Toc211851432" w:history="1">
            <w:r w:rsidR="00423C8A" w:rsidRPr="00423C8A">
              <w:rPr>
                <w:rStyle w:val="Hipervnculo"/>
                <w:noProof/>
                <w:sz w:val="20"/>
                <w:szCs w:val="20"/>
              </w:rPr>
              <w:t>Aprobación Y Revisión Del Plan Estratégico De Seguridad Y Privacidad De La Información</w:t>
            </w:r>
            <w:r w:rsidR="00423C8A" w:rsidRPr="00423C8A">
              <w:rPr>
                <w:noProof/>
                <w:webHidden/>
                <w:sz w:val="20"/>
                <w:szCs w:val="20"/>
              </w:rPr>
              <w:tab/>
            </w:r>
            <w:r w:rsidR="00423C8A" w:rsidRPr="00423C8A">
              <w:rPr>
                <w:noProof/>
                <w:webHidden/>
                <w:sz w:val="20"/>
                <w:szCs w:val="20"/>
              </w:rPr>
              <w:fldChar w:fldCharType="begin"/>
            </w:r>
            <w:r w:rsidR="00423C8A" w:rsidRPr="00423C8A">
              <w:rPr>
                <w:noProof/>
                <w:webHidden/>
                <w:sz w:val="20"/>
                <w:szCs w:val="20"/>
              </w:rPr>
              <w:instrText xml:space="preserve"> PAGEREF _Toc211851432 \h </w:instrText>
            </w:r>
            <w:r w:rsidR="00423C8A" w:rsidRPr="00423C8A">
              <w:rPr>
                <w:noProof/>
                <w:webHidden/>
                <w:sz w:val="20"/>
                <w:szCs w:val="20"/>
              </w:rPr>
            </w:r>
            <w:r w:rsidR="00423C8A" w:rsidRPr="00423C8A">
              <w:rPr>
                <w:noProof/>
                <w:webHidden/>
                <w:sz w:val="20"/>
                <w:szCs w:val="20"/>
              </w:rPr>
              <w:fldChar w:fldCharType="separate"/>
            </w:r>
            <w:r w:rsidR="00423C8A" w:rsidRPr="00423C8A">
              <w:rPr>
                <w:noProof/>
                <w:webHidden/>
                <w:sz w:val="20"/>
                <w:szCs w:val="20"/>
              </w:rPr>
              <w:t>16</w:t>
            </w:r>
            <w:r w:rsidR="00423C8A" w:rsidRPr="00423C8A">
              <w:rPr>
                <w:noProof/>
                <w:webHidden/>
                <w:sz w:val="20"/>
                <w:szCs w:val="20"/>
              </w:rPr>
              <w:fldChar w:fldCharType="end"/>
            </w:r>
          </w:hyperlink>
        </w:p>
        <w:p w14:paraId="545D763B" w14:textId="0D2A0E14" w:rsidR="007B0AAF" w:rsidRDefault="007B0AAF" w:rsidP="00A17E2F">
          <w:pPr>
            <w:spacing w:line="240" w:lineRule="auto"/>
          </w:pPr>
          <w:r w:rsidRPr="00423C8A">
            <w:rPr>
              <w:sz w:val="20"/>
              <w:szCs w:val="20"/>
            </w:rPr>
            <w:fldChar w:fldCharType="end"/>
          </w:r>
        </w:p>
      </w:sdtContent>
    </w:sdt>
    <w:p w14:paraId="0E5BBDFD" w14:textId="095CCF95" w:rsidR="007B0AAF" w:rsidRDefault="007B0AAF" w:rsidP="002D74A1">
      <w:pPr>
        <w:rPr>
          <w:szCs w:val="24"/>
        </w:rPr>
      </w:pPr>
    </w:p>
    <w:p w14:paraId="48942AB8" w14:textId="77777777" w:rsidR="007B0AAF" w:rsidRDefault="007B0AAF">
      <w:pPr>
        <w:spacing w:line="259" w:lineRule="auto"/>
        <w:rPr>
          <w:szCs w:val="24"/>
        </w:rPr>
      </w:pPr>
      <w:r>
        <w:rPr>
          <w:szCs w:val="24"/>
        </w:rPr>
        <w:br w:type="page"/>
      </w:r>
    </w:p>
    <w:p w14:paraId="6F9384DC" w14:textId="77DF8B67" w:rsidR="00CB38FC" w:rsidRPr="00D60DC0" w:rsidRDefault="007B0AAF" w:rsidP="00610FA3">
      <w:pPr>
        <w:pStyle w:val="Ttulo1"/>
      </w:pPr>
      <w:bookmarkStart w:id="0" w:name="_Toc211851410"/>
      <w:r w:rsidRPr="00D60DC0">
        <w:lastRenderedPageBreak/>
        <w:t>Introducción</w:t>
      </w:r>
      <w:bookmarkEnd w:id="0"/>
    </w:p>
    <w:p w14:paraId="0187C779" w14:textId="77777777" w:rsidR="00974189" w:rsidRPr="00610FA3" w:rsidRDefault="00974189" w:rsidP="00D60DC0">
      <w:pPr>
        <w:jc w:val="both"/>
        <w:rPr>
          <w:rFonts w:ascii="Arial" w:hAnsi="Arial" w:cs="Arial"/>
        </w:rPr>
      </w:pPr>
      <w:r w:rsidRPr="00610FA3">
        <w:rPr>
          <w:rFonts w:ascii="Arial" w:hAnsi="Arial" w:cs="Arial"/>
        </w:rPr>
        <w:t>La Alcaldía de Armenia, en cumplimiento de su misión institucional y en atención a los lineamientos de la Política de Gobierno Digital, reconoce la seguridad y privacidad de la información como pilares fundamentales para la gestión pública transparente, eficiente y confiable.</w:t>
      </w:r>
    </w:p>
    <w:p w14:paraId="74F92289" w14:textId="51A8C9EF" w:rsidR="00974189" w:rsidRPr="00610FA3" w:rsidRDefault="00974189" w:rsidP="00D60DC0">
      <w:pPr>
        <w:jc w:val="both"/>
        <w:rPr>
          <w:rFonts w:ascii="Arial" w:hAnsi="Arial" w:cs="Arial"/>
        </w:rPr>
      </w:pPr>
      <w:r w:rsidRPr="00610FA3">
        <w:rPr>
          <w:rFonts w:ascii="Arial" w:hAnsi="Arial" w:cs="Arial"/>
        </w:rPr>
        <w:t>El entorno digital actual exige a las entidades públicas fortalecer sus capacidades para proteger los activos de información, los cuales son esenciales para la prestación continua de los servicios y la toma de decisiones basadas en datos.</w:t>
      </w:r>
    </w:p>
    <w:p w14:paraId="14AED9BC" w14:textId="66859842" w:rsidR="00974189" w:rsidRPr="00610FA3" w:rsidRDefault="00974189" w:rsidP="00D60DC0">
      <w:pPr>
        <w:jc w:val="both"/>
        <w:rPr>
          <w:rFonts w:ascii="Arial" w:hAnsi="Arial" w:cs="Arial"/>
        </w:rPr>
      </w:pPr>
      <w:r w:rsidRPr="00610FA3">
        <w:rPr>
          <w:rFonts w:ascii="Arial" w:hAnsi="Arial" w:cs="Arial"/>
        </w:rPr>
        <w:t xml:space="preserve">En este contexto, el Plan Estratégico de Seguridad y Privacidad de la Información </w:t>
      </w:r>
      <w:r w:rsidR="00D30D66" w:rsidRPr="00610FA3">
        <w:rPr>
          <w:rFonts w:ascii="Arial" w:hAnsi="Arial" w:cs="Arial"/>
        </w:rPr>
        <w:t xml:space="preserve">(PESI) </w:t>
      </w:r>
      <w:r w:rsidRPr="00610FA3">
        <w:rPr>
          <w:rFonts w:ascii="Arial" w:hAnsi="Arial" w:cs="Arial"/>
        </w:rPr>
        <w:t>2025–2027 establece el marco de acción para consolidar el Sistema de Gestión de Seguridad de la Información (SGSI) institucional, alineado con el Modelo de Seguridad y Privacidad de la Información (MSPI) del Ministerio de Tecnologías de la Información y las Comunicaciones —MinTIC— y con la norma ISO/IEC 27001:2022.</w:t>
      </w:r>
    </w:p>
    <w:p w14:paraId="43812E47" w14:textId="5357BA74" w:rsidR="00974189" w:rsidRPr="00610FA3" w:rsidRDefault="00974189" w:rsidP="00D60DC0">
      <w:pPr>
        <w:jc w:val="both"/>
        <w:rPr>
          <w:rFonts w:ascii="Arial" w:hAnsi="Arial" w:cs="Arial"/>
        </w:rPr>
      </w:pPr>
      <w:r w:rsidRPr="00610FA3">
        <w:rPr>
          <w:rFonts w:ascii="Arial" w:hAnsi="Arial" w:cs="Arial"/>
        </w:rPr>
        <w:t>El Plan orienta las acciones estratégicas, operativas y de control necesarias para garantizar la confidencialidad, integridad y disponibilidad de la información, asegurar la continuidad del negocio y fortalecer la cultura organizacional de seguridad digital entre los funcionarios y contratistas.</w:t>
      </w:r>
    </w:p>
    <w:p w14:paraId="0380E70E" w14:textId="4DD9210D" w:rsidR="001F2CD6" w:rsidRPr="00610FA3" w:rsidRDefault="00974189" w:rsidP="00D60DC0">
      <w:pPr>
        <w:jc w:val="both"/>
        <w:rPr>
          <w:rFonts w:ascii="Arial" w:hAnsi="Arial" w:cs="Arial"/>
        </w:rPr>
      </w:pPr>
      <w:r w:rsidRPr="00610FA3">
        <w:rPr>
          <w:rFonts w:ascii="Arial" w:hAnsi="Arial" w:cs="Arial"/>
        </w:rPr>
        <w:t>Asimismo, este documento articula los esfuerzos en materia de gobernanza de la información, protección de datos personales, gestión de riesgos tecnológicos y cumplimiento normativo, con el propósito de reducir los incidentes de seguridad y mantener la confianza de la ciudadanía en la administración pública municipal.</w:t>
      </w:r>
    </w:p>
    <w:p w14:paraId="0FA7A4BE" w14:textId="25554C6D" w:rsidR="0037551A" w:rsidRDefault="00693683" w:rsidP="00610FA3">
      <w:pPr>
        <w:pStyle w:val="Ttulo1"/>
      </w:pPr>
      <w:bookmarkStart w:id="1" w:name="_Toc211851411"/>
      <w:r>
        <w:t>Objetivo</w:t>
      </w:r>
      <w:bookmarkEnd w:id="1"/>
    </w:p>
    <w:p w14:paraId="4EB970BB" w14:textId="77777777" w:rsidR="001F2CD6" w:rsidRPr="00C92A13" w:rsidRDefault="001F2CD6" w:rsidP="00D60DC0">
      <w:pPr>
        <w:jc w:val="both"/>
        <w:rPr>
          <w:rFonts w:ascii="Arial" w:hAnsi="Arial" w:cs="Arial"/>
        </w:rPr>
      </w:pPr>
      <w:r w:rsidRPr="00C92A13">
        <w:rPr>
          <w:rFonts w:ascii="Arial" w:hAnsi="Arial" w:cs="Arial"/>
        </w:rPr>
        <w:t>Fortalecer la integridad, confidencialidad y disponibilidad de los activos de información de la Alcaldía de Armenia, mediante la implementación del Modelo de Seguridad y Privacidad de la Información (MSPI) y las estrategias de seguridad digital definidas en el presente documento, con el fin de reducir los riesgos a los que está expuesta la información de la Entidad hasta niveles aceptables.</w:t>
      </w:r>
    </w:p>
    <w:p w14:paraId="09F513F5" w14:textId="3B269DDC" w:rsidR="001F2CD6" w:rsidRPr="00C92A13" w:rsidRDefault="001F2CD6" w:rsidP="00D60DC0">
      <w:pPr>
        <w:jc w:val="both"/>
        <w:rPr>
          <w:rFonts w:ascii="Arial" w:hAnsi="Arial" w:cs="Arial"/>
        </w:rPr>
      </w:pPr>
      <w:r w:rsidRPr="00C92A13">
        <w:rPr>
          <w:rFonts w:ascii="Arial" w:hAnsi="Arial" w:cs="Arial"/>
        </w:rPr>
        <w:lastRenderedPageBreak/>
        <w:t>Este plan se formula en atención al contexto organizacional, las capacidades técnicas y los recursos disponibles, y será implementado en la vigencia 2025–2027, en concordancia con los lineamientos del MinTIC y la Política de Gobierno Digital.</w:t>
      </w:r>
    </w:p>
    <w:p w14:paraId="04A901F2" w14:textId="3CEA4071" w:rsidR="001F2CD6" w:rsidRDefault="001F2CD6" w:rsidP="00610FA3">
      <w:pPr>
        <w:pStyle w:val="Ttulo1"/>
      </w:pPr>
      <w:bookmarkStart w:id="2" w:name="_Toc211851412"/>
      <w:r>
        <w:t>Objetivo Específicos</w:t>
      </w:r>
      <w:bookmarkEnd w:id="2"/>
    </w:p>
    <w:p w14:paraId="13646C19" w14:textId="1818C398" w:rsidR="001F2CD6" w:rsidRPr="00C92A13" w:rsidRDefault="001F2CD6" w:rsidP="00611A19">
      <w:pPr>
        <w:pStyle w:val="Prrafodelista"/>
        <w:numPr>
          <w:ilvl w:val="0"/>
          <w:numId w:val="2"/>
        </w:numPr>
        <w:jc w:val="both"/>
        <w:rPr>
          <w:rFonts w:ascii="Arial" w:hAnsi="Arial" w:cs="Arial"/>
        </w:rPr>
      </w:pPr>
      <w:r w:rsidRPr="00C92A13">
        <w:rPr>
          <w:rFonts w:ascii="Arial" w:hAnsi="Arial" w:cs="Arial"/>
        </w:rPr>
        <w:t>Identificar y proteger las infraestructuras críticas de la Alcaldía de Armenia, aplicando las mejores prácticas de seguridad de la información, con el fin de reducir la exposición a incidentes que comprometan la prestación de los servicios públicos.</w:t>
      </w:r>
    </w:p>
    <w:p w14:paraId="524079C2" w14:textId="412B1A3F" w:rsidR="001F2CD6" w:rsidRPr="00C92A13" w:rsidRDefault="001F2CD6" w:rsidP="00611A19">
      <w:pPr>
        <w:pStyle w:val="Prrafodelista"/>
        <w:numPr>
          <w:ilvl w:val="0"/>
          <w:numId w:val="2"/>
        </w:numPr>
        <w:jc w:val="both"/>
        <w:rPr>
          <w:rFonts w:ascii="Arial" w:hAnsi="Arial" w:cs="Arial"/>
        </w:rPr>
      </w:pPr>
      <w:r w:rsidRPr="00C92A13">
        <w:rPr>
          <w:rFonts w:ascii="Arial" w:hAnsi="Arial" w:cs="Arial"/>
        </w:rPr>
        <w:t>Implementar y apropiar el Modelo de Seguridad y Privacidad de la Información (MSPI), estableciendo el Sistema de Gestión de Seguridad de la Información (SGSI) institucional para garantizar la protección de los datos y sistemas frente al acceso, uso, divulgación, alteración, interrupción o destrucción no autorizada.</w:t>
      </w:r>
    </w:p>
    <w:p w14:paraId="0E8BF1A7" w14:textId="76FC1E80" w:rsidR="001F2CD6" w:rsidRPr="00C92A13" w:rsidRDefault="001F2CD6" w:rsidP="00611A19">
      <w:pPr>
        <w:pStyle w:val="Prrafodelista"/>
        <w:numPr>
          <w:ilvl w:val="0"/>
          <w:numId w:val="2"/>
        </w:numPr>
        <w:jc w:val="both"/>
        <w:rPr>
          <w:rFonts w:ascii="Arial" w:hAnsi="Arial" w:cs="Arial"/>
        </w:rPr>
      </w:pPr>
      <w:r w:rsidRPr="00C92A13">
        <w:rPr>
          <w:rFonts w:ascii="Arial" w:hAnsi="Arial" w:cs="Arial"/>
        </w:rPr>
        <w:t>Definir y establecer la estrategia de seguridad digital de la entidad, alineada con los lineamientos del MinTIC y la Política de Gobierno Digital, para la vigencia 2025–2027.</w:t>
      </w:r>
    </w:p>
    <w:p w14:paraId="1F666EA3" w14:textId="6B892B98" w:rsidR="001F2CD6" w:rsidRPr="00C92A13" w:rsidRDefault="001F2CD6" w:rsidP="00611A19">
      <w:pPr>
        <w:pStyle w:val="Prrafodelista"/>
        <w:numPr>
          <w:ilvl w:val="0"/>
          <w:numId w:val="2"/>
        </w:numPr>
        <w:jc w:val="both"/>
        <w:rPr>
          <w:rFonts w:ascii="Arial" w:hAnsi="Arial" w:cs="Arial"/>
        </w:rPr>
      </w:pPr>
      <w:r w:rsidRPr="00C92A13">
        <w:rPr>
          <w:rFonts w:ascii="Arial" w:hAnsi="Arial" w:cs="Arial"/>
        </w:rPr>
        <w:t>Optimizar el uso eficiente y seguro de los recursos de TI (humanos, físicos, financieros y tecnológicos), garantizando la continuidad de la prestación de los servicios de la Alcaldía hacia la ciudadanía.</w:t>
      </w:r>
    </w:p>
    <w:p w14:paraId="64B7B1B0" w14:textId="0A8343C0" w:rsidR="001F2CD6" w:rsidRPr="00C92A13" w:rsidRDefault="001F2CD6" w:rsidP="00611A19">
      <w:pPr>
        <w:pStyle w:val="Prrafodelista"/>
        <w:numPr>
          <w:ilvl w:val="0"/>
          <w:numId w:val="2"/>
        </w:numPr>
        <w:jc w:val="both"/>
        <w:rPr>
          <w:rFonts w:ascii="Arial" w:hAnsi="Arial" w:cs="Arial"/>
        </w:rPr>
      </w:pPr>
      <w:r w:rsidRPr="00C92A13">
        <w:rPr>
          <w:rFonts w:ascii="Arial" w:hAnsi="Arial" w:cs="Arial"/>
        </w:rPr>
        <w:t>Priorizar y ejecutar proyectos estratégicos que fortalezcan la seguridad y privacidad de la información, atendiendo a la criticidad de los activos y a la capacidad de la entidad.</w:t>
      </w:r>
    </w:p>
    <w:p w14:paraId="225D5A3E" w14:textId="191F9FEA" w:rsidR="0098373D" w:rsidRDefault="0037551A" w:rsidP="00610FA3">
      <w:pPr>
        <w:pStyle w:val="Ttulo1"/>
      </w:pPr>
      <w:bookmarkStart w:id="3" w:name="_Toc211851413"/>
      <w:r>
        <w:t>Alcance</w:t>
      </w:r>
      <w:bookmarkEnd w:id="3"/>
    </w:p>
    <w:p w14:paraId="62E4B48E" w14:textId="67FFF3A6" w:rsidR="001F2CD6" w:rsidRPr="00C92A13" w:rsidRDefault="001F2CD6" w:rsidP="00D60DC0">
      <w:pPr>
        <w:jc w:val="both"/>
        <w:rPr>
          <w:rFonts w:ascii="Arial" w:hAnsi="Arial" w:cs="Arial"/>
        </w:rPr>
      </w:pPr>
      <w:r w:rsidRPr="00C92A13">
        <w:rPr>
          <w:rFonts w:ascii="Arial" w:hAnsi="Arial" w:cs="Arial"/>
        </w:rPr>
        <w:t xml:space="preserve">El Plan Estratégico de Seguridad y Privacidad de la Información </w:t>
      </w:r>
      <w:r w:rsidR="00D30D66" w:rsidRPr="00C92A13">
        <w:rPr>
          <w:rFonts w:ascii="Arial" w:hAnsi="Arial" w:cs="Arial"/>
        </w:rPr>
        <w:t xml:space="preserve">(PESI) </w:t>
      </w:r>
      <w:r w:rsidRPr="00C92A13">
        <w:rPr>
          <w:rFonts w:ascii="Arial" w:hAnsi="Arial" w:cs="Arial"/>
        </w:rPr>
        <w:t>de la Alcaldía de Armenia 2025–2027 se aplica a todos los procesos, áreas y dependencias de la Entidad, conforme a lo establecido en la Política General de Seguridad de la Información.</w:t>
      </w:r>
    </w:p>
    <w:p w14:paraId="7AEF8C17" w14:textId="77777777" w:rsidR="001F2CD6" w:rsidRPr="00C92A13" w:rsidRDefault="001F2CD6" w:rsidP="001F2CD6">
      <w:pPr>
        <w:rPr>
          <w:rFonts w:ascii="Arial" w:hAnsi="Arial" w:cs="Arial"/>
        </w:rPr>
      </w:pPr>
      <w:r w:rsidRPr="00C92A13">
        <w:rPr>
          <w:rFonts w:ascii="Arial" w:hAnsi="Arial" w:cs="Arial"/>
        </w:rPr>
        <w:t>Su alcance comprende:</w:t>
      </w:r>
    </w:p>
    <w:p w14:paraId="52DE4CC2" w14:textId="7D0A0C65" w:rsidR="001F2CD6" w:rsidRPr="00C92A13" w:rsidRDefault="001F2CD6" w:rsidP="00611A19">
      <w:pPr>
        <w:pStyle w:val="Prrafodelista"/>
        <w:numPr>
          <w:ilvl w:val="0"/>
          <w:numId w:val="3"/>
        </w:numPr>
        <w:jc w:val="both"/>
        <w:rPr>
          <w:rFonts w:ascii="Arial" w:hAnsi="Arial" w:cs="Arial"/>
        </w:rPr>
      </w:pPr>
      <w:r w:rsidRPr="00C92A13">
        <w:rPr>
          <w:rFonts w:ascii="Arial" w:hAnsi="Arial" w:cs="Arial"/>
        </w:rPr>
        <w:lastRenderedPageBreak/>
        <w:t>La implementación y fortalecimiento del Sistema de Gestión de Seguridad y Privacidad de la Información (SGSI) y de la estrategia de seguridad digital institucional.</w:t>
      </w:r>
    </w:p>
    <w:p w14:paraId="1779C0A6" w14:textId="3358C272" w:rsidR="001F2CD6" w:rsidRPr="00C92A13" w:rsidRDefault="001F2CD6" w:rsidP="00611A19">
      <w:pPr>
        <w:pStyle w:val="Prrafodelista"/>
        <w:numPr>
          <w:ilvl w:val="0"/>
          <w:numId w:val="3"/>
        </w:numPr>
        <w:jc w:val="both"/>
        <w:rPr>
          <w:rFonts w:ascii="Arial" w:hAnsi="Arial" w:cs="Arial"/>
        </w:rPr>
      </w:pPr>
      <w:r w:rsidRPr="00C92A13">
        <w:rPr>
          <w:rFonts w:ascii="Arial" w:hAnsi="Arial" w:cs="Arial"/>
        </w:rPr>
        <w:t>La protección integral de los activos de información, asegurando su confidencialidad, integridad y disponibilidad frente a riesgos internos y externos.</w:t>
      </w:r>
    </w:p>
    <w:p w14:paraId="48184501" w14:textId="058A6951" w:rsidR="001F2CD6" w:rsidRPr="00C92A13" w:rsidRDefault="001F2CD6" w:rsidP="00611A19">
      <w:pPr>
        <w:pStyle w:val="Prrafodelista"/>
        <w:numPr>
          <w:ilvl w:val="0"/>
          <w:numId w:val="3"/>
        </w:numPr>
        <w:jc w:val="both"/>
        <w:rPr>
          <w:rFonts w:ascii="Arial" w:hAnsi="Arial" w:cs="Arial"/>
        </w:rPr>
      </w:pPr>
      <w:r w:rsidRPr="00C92A13">
        <w:rPr>
          <w:rFonts w:ascii="Arial" w:hAnsi="Arial" w:cs="Arial"/>
        </w:rPr>
        <w:t>La aplicación de controles y buenas prácticas alineadas con el Modelo de Seguridad y Privacidad de la Información (MSPI), la norma internacional ISO/IEC 27001:2022, su Anexo A (que contiene 93 controles organizados en cuatro dominios: organizativos, personas, físicos y tecnológicos) y demás estándares internacionales aplicables.</w:t>
      </w:r>
    </w:p>
    <w:p w14:paraId="661C2368" w14:textId="05E7FF0A" w:rsidR="001F2CD6" w:rsidRPr="00C92A13" w:rsidRDefault="001F2CD6" w:rsidP="00611A19">
      <w:pPr>
        <w:pStyle w:val="Prrafodelista"/>
        <w:numPr>
          <w:ilvl w:val="0"/>
          <w:numId w:val="3"/>
        </w:numPr>
        <w:jc w:val="both"/>
        <w:rPr>
          <w:rFonts w:ascii="Arial" w:hAnsi="Arial" w:cs="Arial"/>
        </w:rPr>
      </w:pPr>
      <w:r w:rsidRPr="00C92A13">
        <w:rPr>
          <w:rFonts w:ascii="Arial" w:hAnsi="Arial" w:cs="Arial"/>
        </w:rPr>
        <w:t>El cumplimiento de los requisitos legales, normativos y contractuales vigentes en Colombia, incluyendo la Ley 1581 de 2012 (protección de datos personales), el Decreto 1377 de 2013, la Política de Gobierno Digital y los lineamientos expedidos por el MinTIC.</w:t>
      </w:r>
    </w:p>
    <w:p w14:paraId="639C773A" w14:textId="34EE1096" w:rsidR="001F2CD6" w:rsidRPr="00C92A13" w:rsidRDefault="001F2CD6" w:rsidP="00611A19">
      <w:pPr>
        <w:pStyle w:val="Prrafodelista"/>
        <w:numPr>
          <w:ilvl w:val="0"/>
          <w:numId w:val="3"/>
        </w:numPr>
        <w:jc w:val="both"/>
        <w:rPr>
          <w:rFonts w:ascii="Arial" w:hAnsi="Arial" w:cs="Arial"/>
        </w:rPr>
      </w:pPr>
      <w:r w:rsidRPr="00C92A13">
        <w:rPr>
          <w:rFonts w:ascii="Arial" w:hAnsi="Arial" w:cs="Arial"/>
        </w:rPr>
        <w:t>La adopción de medidas de seguridad que garanticen la continuidad de la operación institucional, la prestación eficiente de los servicios a la ciudadanía y la adecuada gestión de riesgos asociados a las tecnologías de la información y las comunicaciones.</w:t>
      </w:r>
    </w:p>
    <w:p w14:paraId="2D5E3028" w14:textId="0534ADAD" w:rsidR="007B0AAF" w:rsidRDefault="007B0AAF" w:rsidP="00610FA3">
      <w:pPr>
        <w:pStyle w:val="Ttulo1"/>
      </w:pPr>
      <w:bookmarkStart w:id="4" w:name="_Toc211851414"/>
      <w:r>
        <w:t>Marco Normativo</w:t>
      </w:r>
      <w:bookmarkEnd w:id="4"/>
    </w:p>
    <w:tbl>
      <w:tblPr>
        <w:tblStyle w:val="Tablaconcuadrcula"/>
        <w:tblW w:w="0" w:type="auto"/>
        <w:tblLook w:val="04A0" w:firstRow="1" w:lastRow="0" w:firstColumn="1" w:lastColumn="0" w:noHBand="0" w:noVBand="1"/>
      </w:tblPr>
      <w:tblGrid>
        <w:gridCol w:w="2830"/>
        <w:gridCol w:w="5998"/>
      </w:tblGrid>
      <w:tr w:rsidR="00811A74" w14:paraId="11E2EB96" w14:textId="77777777" w:rsidTr="0098373D">
        <w:trPr>
          <w:trHeight w:val="453"/>
        </w:trPr>
        <w:tc>
          <w:tcPr>
            <w:tcW w:w="2830" w:type="dxa"/>
            <w:vAlign w:val="center"/>
          </w:tcPr>
          <w:p w14:paraId="0925064E" w14:textId="5F92A6B2" w:rsidR="00811A74" w:rsidRPr="00811A74" w:rsidRDefault="00811A74" w:rsidP="00811A74">
            <w:pPr>
              <w:jc w:val="center"/>
              <w:rPr>
                <w:b/>
                <w:bCs/>
              </w:rPr>
            </w:pPr>
            <w:r w:rsidRPr="00811A74">
              <w:rPr>
                <w:b/>
                <w:bCs/>
              </w:rPr>
              <w:t>Norma</w:t>
            </w:r>
          </w:p>
        </w:tc>
        <w:tc>
          <w:tcPr>
            <w:tcW w:w="5998" w:type="dxa"/>
            <w:vAlign w:val="center"/>
          </w:tcPr>
          <w:p w14:paraId="6C6FA391" w14:textId="675487CA" w:rsidR="00811A74" w:rsidRPr="00811A74" w:rsidRDefault="00811A74" w:rsidP="00811A74">
            <w:pPr>
              <w:jc w:val="center"/>
              <w:rPr>
                <w:b/>
                <w:bCs/>
              </w:rPr>
            </w:pPr>
            <w:r w:rsidRPr="00811A74">
              <w:rPr>
                <w:b/>
                <w:bCs/>
              </w:rPr>
              <w:t>Descripción</w:t>
            </w:r>
          </w:p>
        </w:tc>
      </w:tr>
      <w:tr w:rsidR="00811A74" w14:paraId="3E42D5DA" w14:textId="77777777" w:rsidTr="0098373D">
        <w:tc>
          <w:tcPr>
            <w:tcW w:w="2830" w:type="dxa"/>
            <w:vAlign w:val="center"/>
          </w:tcPr>
          <w:p w14:paraId="4974A159" w14:textId="63B5AFBF" w:rsidR="00811A74" w:rsidRPr="00811A74" w:rsidRDefault="00811A74" w:rsidP="00811A74">
            <w:pPr>
              <w:rPr>
                <w:sz w:val="20"/>
                <w:szCs w:val="20"/>
              </w:rPr>
            </w:pPr>
            <w:r w:rsidRPr="00811A74">
              <w:rPr>
                <w:rFonts w:cs="Arial"/>
                <w:sz w:val="20"/>
                <w:szCs w:val="20"/>
              </w:rPr>
              <w:t>Ley 527 de 1999</w:t>
            </w:r>
          </w:p>
        </w:tc>
        <w:tc>
          <w:tcPr>
            <w:tcW w:w="5998" w:type="dxa"/>
            <w:vAlign w:val="center"/>
          </w:tcPr>
          <w:p w14:paraId="1A5EB497" w14:textId="73F99C68" w:rsidR="00811A74" w:rsidRPr="00811A74" w:rsidRDefault="00811A74" w:rsidP="00811A74">
            <w:pPr>
              <w:rPr>
                <w:sz w:val="20"/>
                <w:szCs w:val="20"/>
              </w:rPr>
            </w:pPr>
            <w:r w:rsidRPr="00811A74">
              <w:rPr>
                <w:rFonts w:cs="Arial"/>
                <w:sz w:val="20"/>
                <w:szCs w:val="20"/>
              </w:rPr>
              <w:t>“Por medio de la cual se define y se reglamenta el acceso y el uso de los mensajes de datos”</w:t>
            </w:r>
          </w:p>
        </w:tc>
      </w:tr>
      <w:tr w:rsidR="00811A74" w14:paraId="2AFFAD27" w14:textId="77777777" w:rsidTr="0098373D">
        <w:tc>
          <w:tcPr>
            <w:tcW w:w="2830" w:type="dxa"/>
            <w:vAlign w:val="center"/>
          </w:tcPr>
          <w:p w14:paraId="2512F399" w14:textId="6BE533FC" w:rsidR="00811A74" w:rsidRPr="00811A74" w:rsidRDefault="00811A74" w:rsidP="00811A74">
            <w:pPr>
              <w:rPr>
                <w:sz w:val="20"/>
                <w:szCs w:val="20"/>
              </w:rPr>
            </w:pPr>
            <w:r w:rsidRPr="00811A74">
              <w:rPr>
                <w:rFonts w:cs="Arial"/>
                <w:sz w:val="20"/>
                <w:szCs w:val="20"/>
              </w:rPr>
              <w:t>Ley 1226 del 2008</w:t>
            </w:r>
          </w:p>
        </w:tc>
        <w:tc>
          <w:tcPr>
            <w:tcW w:w="5998" w:type="dxa"/>
            <w:vAlign w:val="center"/>
          </w:tcPr>
          <w:p w14:paraId="63180188" w14:textId="53083731" w:rsidR="00811A74" w:rsidRPr="00811A74" w:rsidRDefault="00811A74" w:rsidP="00811A74">
            <w:pPr>
              <w:rPr>
                <w:sz w:val="20"/>
                <w:szCs w:val="20"/>
              </w:rPr>
            </w:pPr>
            <w:r w:rsidRPr="00811A74">
              <w:rPr>
                <w:rFonts w:cs="Arial"/>
                <w:sz w:val="20"/>
                <w:szCs w:val="20"/>
              </w:rPr>
              <w:t>“Por la cual se dictan disposiciones generales del hábeas data y se regula el manejo de la información contenida en bases de datos personales, en especial la financiera, crediticia, comercial, de servicios y la proveniente de terceros países”</w:t>
            </w:r>
          </w:p>
        </w:tc>
      </w:tr>
      <w:tr w:rsidR="00811A74" w14:paraId="7AFA74B1" w14:textId="77777777" w:rsidTr="0098373D">
        <w:tc>
          <w:tcPr>
            <w:tcW w:w="2830" w:type="dxa"/>
            <w:vAlign w:val="center"/>
          </w:tcPr>
          <w:p w14:paraId="0BBBC05D" w14:textId="40C1D1AC" w:rsidR="00811A74" w:rsidRPr="00811A74" w:rsidRDefault="00811A74" w:rsidP="00811A74">
            <w:pPr>
              <w:rPr>
                <w:rFonts w:cs="Arial"/>
                <w:sz w:val="20"/>
                <w:szCs w:val="20"/>
              </w:rPr>
            </w:pPr>
            <w:r w:rsidRPr="00811A74">
              <w:rPr>
                <w:rFonts w:cs="Arial"/>
                <w:sz w:val="20"/>
                <w:szCs w:val="20"/>
              </w:rPr>
              <w:t>Ley 1273 del 2009</w:t>
            </w:r>
          </w:p>
        </w:tc>
        <w:tc>
          <w:tcPr>
            <w:tcW w:w="5998" w:type="dxa"/>
            <w:vAlign w:val="center"/>
          </w:tcPr>
          <w:p w14:paraId="3CCF624A" w14:textId="6695871A" w:rsidR="00811A74" w:rsidRPr="00811A74" w:rsidRDefault="00811A74" w:rsidP="00811A74">
            <w:pPr>
              <w:rPr>
                <w:rFonts w:cs="Arial"/>
                <w:sz w:val="20"/>
                <w:szCs w:val="20"/>
              </w:rPr>
            </w:pPr>
            <w:r w:rsidRPr="00811A74">
              <w:rPr>
                <w:rFonts w:cs="Arial"/>
                <w:sz w:val="20"/>
                <w:szCs w:val="20"/>
              </w:rPr>
              <w:t>“Por medio de la cual se crea un nuevo bien jurídico tutelado denominado “de la protección de la información y de los datos” y se preservan integralmente los sistemas que utilicen las tecnologías de la información y las comunicaciones”.</w:t>
            </w:r>
          </w:p>
        </w:tc>
      </w:tr>
      <w:tr w:rsidR="00811A74" w14:paraId="51DB0D9C" w14:textId="77777777" w:rsidTr="0098373D">
        <w:tc>
          <w:tcPr>
            <w:tcW w:w="2830" w:type="dxa"/>
            <w:vAlign w:val="center"/>
          </w:tcPr>
          <w:p w14:paraId="7B2CD563" w14:textId="62465DC4" w:rsidR="00811A74" w:rsidRPr="00811A74" w:rsidRDefault="00811A74" w:rsidP="00811A74">
            <w:pPr>
              <w:rPr>
                <w:rFonts w:cs="Arial"/>
                <w:sz w:val="20"/>
                <w:szCs w:val="20"/>
              </w:rPr>
            </w:pPr>
            <w:r w:rsidRPr="00811A74">
              <w:rPr>
                <w:rFonts w:cs="Arial"/>
                <w:sz w:val="20"/>
                <w:szCs w:val="20"/>
              </w:rPr>
              <w:t>CONPES 3701 de 2011</w:t>
            </w:r>
          </w:p>
        </w:tc>
        <w:tc>
          <w:tcPr>
            <w:tcW w:w="5998" w:type="dxa"/>
            <w:vAlign w:val="center"/>
          </w:tcPr>
          <w:p w14:paraId="020340D6" w14:textId="0DC8A466" w:rsidR="00811A74" w:rsidRPr="00811A74" w:rsidRDefault="00811A74" w:rsidP="00811A74">
            <w:pPr>
              <w:rPr>
                <w:rFonts w:cs="Arial"/>
                <w:sz w:val="20"/>
                <w:szCs w:val="20"/>
              </w:rPr>
            </w:pPr>
            <w:r w:rsidRPr="00811A74">
              <w:rPr>
                <w:rFonts w:cs="Arial"/>
                <w:sz w:val="20"/>
                <w:szCs w:val="20"/>
              </w:rPr>
              <w:t>Lineamientos de política para ciberseguridad y Ciberdefensa</w:t>
            </w:r>
          </w:p>
        </w:tc>
      </w:tr>
      <w:tr w:rsidR="00811A74" w14:paraId="7313A103" w14:textId="77777777" w:rsidTr="0098373D">
        <w:tc>
          <w:tcPr>
            <w:tcW w:w="2830" w:type="dxa"/>
            <w:vAlign w:val="center"/>
          </w:tcPr>
          <w:p w14:paraId="1A17AD47" w14:textId="3E1A8019" w:rsidR="00811A74" w:rsidRPr="00811A74" w:rsidRDefault="00811A74" w:rsidP="00811A74">
            <w:pPr>
              <w:rPr>
                <w:rFonts w:cs="Arial"/>
                <w:sz w:val="20"/>
                <w:szCs w:val="20"/>
              </w:rPr>
            </w:pPr>
            <w:r w:rsidRPr="00811A74">
              <w:rPr>
                <w:rFonts w:cs="Arial"/>
                <w:sz w:val="20"/>
                <w:szCs w:val="20"/>
              </w:rPr>
              <w:t>Ley 1581 de 2012</w:t>
            </w:r>
          </w:p>
        </w:tc>
        <w:tc>
          <w:tcPr>
            <w:tcW w:w="5998" w:type="dxa"/>
            <w:vAlign w:val="center"/>
          </w:tcPr>
          <w:p w14:paraId="195F2B7A" w14:textId="49ED0929" w:rsidR="00811A74" w:rsidRPr="00811A74" w:rsidRDefault="00811A74" w:rsidP="00811A74">
            <w:pPr>
              <w:rPr>
                <w:rFonts w:cs="Arial"/>
                <w:sz w:val="20"/>
                <w:szCs w:val="20"/>
              </w:rPr>
            </w:pPr>
            <w:r w:rsidRPr="00811A74">
              <w:rPr>
                <w:rFonts w:cs="Arial"/>
                <w:sz w:val="20"/>
                <w:szCs w:val="20"/>
              </w:rPr>
              <w:t>Por medio de la cual se dictan disposiciones generales para la Protección de Datos Personales</w:t>
            </w:r>
          </w:p>
        </w:tc>
      </w:tr>
      <w:tr w:rsidR="00811A74" w14:paraId="5E921A8A" w14:textId="77777777" w:rsidTr="0098373D">
        <w:tc>
          <w:tcPr>
            <w:tcW w:w="2830" w:type="dxa"/>
            <w:vAlign w:val="center"/>
          </w:tcPr>
          <w:p w14:paraId="22C91574" w14:textId="7628189D" w:rsidR="00811A74" w:rsidRPr="00811A74" w:rsidRDefault="00811A74" w:rsidP="00811A74">
            <w:pPr>
              <w:rPr>
                <w:rFonts w:cs="Arial"/>
                <w:sz w:val="20"/>
                <w:szCs w:val="20"/>
              </w:rPr>
            </w:pPr>
            <w:r w:rsidRPr="00811A74">
              <w:rPr>
                <w:rFonts w:cs="Arial"/>
                <w:sz w:val="20"/>
                <w:szCs w:val="20"/>
              </w:rPr>
              <w:lastRenderedPageBreak/>
              <w:t>Ley 1712 de 2014</w:t>
            </w:r>
          </w:p>
        </w:tc>
        <w:tc>
          <w:tcPr>
            <w:tcW w:w="5998" w:type="dxa"/>
            <w:vAlign w:val="center"/>
          </w:tcPr>
          <w:p w14:paraId="1748CAA0" w14:textId="109C86AB" w:rsidR="00811A74" w:rsidRPr="00811A74" w:rsidRDefault="00811A74" w:rsidP="00811A74">
            <w:pPr>
              <w:rPr>
                <w:rFonts w:cs="Arial"/>
                <w:sz w:val="20"/>
                <w:szCs w:val="20"/>
              </w:rPr>
            </w:pPr>
            <w:r w:rsidRPr="00811A74">
              <w:rPr>
                <w:rFonts w:cs="Arial"/>
                <w:sz w:val="20"/>
                <w:szCs w:val="20"/>
              </w:rPr>
              <w:t>Ley de Transparencia y del Derecho de Acceso a la Información Pública</w:t>
            </w:r>
          </w:p>
        </w:tc>
      </w:tr>
      <w:tr w:rsidR="00811A74" w14:paraId="26036DE7" w14:textId="77777777" w:rsidTr="0098373D">
        <w:tc>
          <w:tcPr>
            <w:tcW w:w="2830" w:type="dxa"/>
            <w:vAlign w:val="center"/>
          </w:tcPr>
          <w:p w14:paraId="4A349B5C" w14:textId="64D7BAF6" w:rsidR="00811A74" w:rsidRPr="00811A74" w:rsidRDefault="00811A74" w:rsidP="00811A74">
            <w:pPr>
              <w:rPr>
                <w:rFonts w:cs="Arial"/>
                <w:sz w:val="20"/>
                <w:szCs w:val="20"/>
              </w:rPr>
            </w:pPr>
            <w:r w:rsidRPr="00811A74">
              <w:rPr>
                <w:rFonts w:cs="Arial"/>
                <w:sz w:val="20"/>
                <w:szCs w:val="20"/>
              </w:rPr>
              <w:t>Decreto 2573 del 2014</w:t>
            </w:r>
          </w:p>
        </w:tc>
        <w:tc>
          <w:tcPr>
            <w:tcW w:w="5998" w:type="dxa"/>
            <w:vAlign w:val="center"/>
          </w:tcPr>
          <w:p w14:paraId="5F38EDB0" w14:textId="396ED5CC" w:rsidR="00811A74" w:rsidRPr="00811A74" w:rsidRDefault="00811A74" w:rsidP="00811A74">
            <w:pPr>
              <w:rPr>
                <w:rFonts w:cs="Arial"/>
                <w:sz w:val="20"/>
                <w:szCs w:val="20"/>
              </w:rPr>
            </w:pPr>
            <w:r w:rsidRPr="00811A74">
              <w:rPr>
                <w:rFonts w:cs="Arial"/>
                <w:sz w:val="20"/>
                <w:szCs w:val="20"/>
              </w:rPr>
              <w:t>Estrategia de Gobierno en Línea de la República de Colombia</w:t>
            </w:r>
          </w:p>
        </w:tc>
      </w:tr>
      <w:tr w:rsidR="00811A74" w14:paraId="2685558B" w14:textId="77777777" w:rsidTr="0098373D">
        <w:tc>
          <w:tcPr>
            <w:tcW w:w="2830" w:type="dxa"/>
            <w:vAlign w:val="center"/>
          </w:tcPr>
          <w:p w14:paraId="5994CC3F" w14:textId="2B89412F" w:rsidR="00811A74" w:rsidRPr="00811A74" w:rsidRDefault="00811A74" w:rsidP="00811A74">
            <w:pPr>
              <w:rPr>
                <w:rFonts w:cs="Arial"/>
                <w:sz w:val="20"/>
                <w:szCs w:val="20"/>
              </w:rPr>
            </w:pPr>
            <w:r w:rsidRPr="00811A74">
              <w:rPr>
                <w:rFonts w:cs="Arial"/>
                <w:sz w:val="20"/>
                <w:szCs w:val="20"/>
              </w:rPr>
              <w:t>Decreto 113 de 2015</w:t>
            </w:r>
          </w:p>
        </w:tc>
        <w:tc>
          <w:tcPr>
            <w:tcW w:w="5998" w:type="dxa"/>
            <w:vAlign w:val="center"/>
          </w:tcPr>
          <w:p w14:paraId="3C6C6C59" w14:textId="44C5A23D" w:rsidR="00811A74" w:rsidRPr="00811A74" w:rsidRDefault="00811A74" w:rsidP="00811A74">
            <w:pPr>
              <w:rPr>
                <w:rFonts w:cs="Arial"/>
                <w:sz w:val="20"/>
                <w:szCs w:val="20"/>
              </w:rPr>
            </w:pPr>
            <w:r w:rsidRPr="00811A74">
              <w:rPr>
                <w:rFonts w:cs="Arial"/>
                <w:sz w:val="20"/>
                <w:szCs w:val="20"/>
              </w:rPr>
              <w:t>Por el cual se reglamenta parcialmente la Ley 1712 de 2014 y se dictan otras disposiciones</w:t>
            </w:r>
          </w:p>
        </w:tc>
      </w:tr>
      <w:tr w:rsidR="00811A74" w14:paraId="448C8E8C" w14:textId="77777777" w:rsidTr="0098373D">
        <w:tc>
          <w:tcPr>
            <w:tcW w:w="2830" w:type="dxa"/>
            <w:vAlign w:val="center"/>
          </w:tcPr>
          <w:p w14:paraId="3E976D07" w14:textId="06DC5F19" w:rsidR="00811A74" w:rsidRPr="00811A74" w:rsidRDefault="00811A74" w:rsidP="00811A74">
            <w:pPr>
              <w:rPr>
                <w:rFonts w:cs="Arial"/>
                <w:sz w:val="20"/>
                <w:szCs w:val="20"/>
              </w:rPr>
            </w:pPr>
            <w:r w:rsidRPr="00811A74">
              <w:rPr>
                <w:rFonts w:cs="Arial"/>
                <w:sz w:val="20"/>
                <w:szCs w:val="20"/>
              </w:rPr>
              <w:t>Decreto 1008 de 2018</w:t>
            </w:r>
          </w:p>
        </w:tc>
        <w:tc>
          <w:tcPr>
            <w:tcW w:w="5998" w:type="dxa"/>
            <w:vAlign w:val="center"/>
          </w:tcPr>
          <w:p w14:paraId="523E8BF8" w14:textId="0BA78913" w:rsidR="00811A74" w:rsidRPr="00811A74" w:rsidRDefault="00811A74" w:rsidP="00811A74">
            <w:pPr>
              <w:rPr>
                <w:rFonts w:cs="Arial"/>
                <w:sz w:val="20"/>
                <w:szCs w:val="20"/>
              </w:rPr>
            </w:pPr>
            <w:r w:rsidRPr="00811A74">
              <w:rPr>
                <w:rFonts w:cs="Arial"/>
                <w:iCs/>
                <w:sz w:val="20"/>
                <w:szCs w:val="20"/>
                <w:lang w:val="es-ES_tradnl"/>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rsidR="00811A74" w14:paraId="032F3393" w14:textId="77777777" w:rsidTr="0098373D">
        <w:tc>
          <w:tcPr>
            <w:tcW w:w="2830" w:type="dxa"/>
            <w:vAlign w:val="center"/>
          </w:tcPr>
          <w:p w14:paraId="58E05604" w14:textId="4570CC0F" w:rsidR="00811A74" w:rsidRPr="00811A74" w:rsidRDefault="00811A74" w:rsidP="00811A74">
            <w:pPr>
              <w:rPr>
                <w:rFonts w:cs="Arial"/>
                <w:sz w:val="20"/>
                <w:szCs w:val="20"/>
              </w:rPr>
            </w:pPr>
            <w:r w:rsidRPr="00811A74">
              <w:rPr>
                <w:rFonts w:cs="Arial"/>
                <w:sz w:val="20"/>
                <w:szCs w:val="20"/>
              </w:rPr>
              <w:t>Resolución número 00500 de marzo 10 de 2021</w:t>
            </w:r>
          </w:p>
        </w:tc>
        <w:tc>
          <w:tcPr>
            <w:tcW w:w="5998" w:type="dxa"/>
            <w:vAlign w:val="center"/>
          </w:tcPr>
          <w:p w14:paraId="3150C8AC" w14:textId="13512E8D" w:rsidR="00811A74" w:rsidRPr="00811A74" w:rsidRDefault="00811A74" w:rsidP="00811A74">
            <w:pPr>
              <w:rPr>
                <w:rFonts w:cs="Arial"/>
                <w:iCs/>
                <w:sz w:val="20"/>
                <w:szCs w:val="20"/>
                <w:lang w:val="es-ES_tradnl"/>
              </w:rPr>
            </w:pPr>
            <w:r w:rsidRPr="00811A74">
              <w:rPr>
                <w:rFonts w:cs="Arial"/>
                <w:iCs/>
                <w:sz w:val="20"/>
                <w:szCs w:val="20"/>
                <w:lang w:val="es-ES_tradnl"/>
              </w:rPr>
              <w:t>“Por la cual se establecen los lineamientos y estándares para la estrategia de seguridad digital y se adopta el modelo de seguridad y privacidad como habilitador de la política de Gobierno Digital”</w:t>
            </w:r>
          </w:p>
        </w:tc>
      </w:tr>
      <w:tr w:rsidR="00811A74" w14:paraId="6725D463" w14:textId="77777777" w:rsidTr="0098373D">
        <w:tc>
          <w:tcPr>
            <w:tcW w:w="2830" w:type="dxa"/>
            <w:vAlign w:val="center"/>
          </w:tcPr>
          <w:p w14:paraId="4BA42D11" w14:textId="07A30E4C" w:rsidR="00811A74" w:rsidRPr="00811A74" w:rsidRDefault="00811A74" w:rsidP="00811A74">
            <w:pPr>
              <w:rPr>
                <w:rFonts w:cs="Arial"/>
                <w:sz w:val="20"/>
                <w:szCs w:val="20"/>
              </w:rPr>
            </w:pPr>
            <w:r w:rsidRPr="00811A74">
              <w:rPr>
                <w:rFonts w:cs="Arial"/>
                <w:sz w:val="20"/>
                <w:szCs w:val="20"/>
              </w:rPr>
              <w:t>Directiva presidencial No. 03 del 15 de marzo de 2021</w:t>
            </w:r>
          </w:p>
        </w:tc>
        <w:tc>
          <w:tcPr>
            <w:tcW w:w="5998" w:type="dxa"/>
            <w:vAlign w:val="center"/>
          </w:tcPr>
          <w:p w14:paraId="7461CDEC" w14:textId="706DC855" w:rsidR="00811A74" w:rsidRPr="00811A74" w:rsidRDefault="00811A74" w:rsidP="00811A74">
            <w:pPr>
              <w:rPr>
                <w:rFonts w:cs="Arial"/>
                <w:iCs/>
                <w:sz w:val="20"/>
                <w:szCs w:val="20"/>
                <w:lang w:val="es-ES_tradnl"/>
              </w:rPr>
            </w:pPr>
            <w:r w:rsidRPr="00811A74">
              <w:rPr>
                <w:rFonts w:cs="Arial"/>
                <w:iCs/>
                <w:sz w:val="20"/>
                <w:szCs w:val="20"/>
                <w:lang w:val="es-ES_tradnl"/>
              </w:rPr>
              <w:t>Lineamientos para el uso de servicios en la nube, inteligencia artificial, seguridad digital y gestión de datos.</w:t>
            </w:r>
          </w:p>
        </w:tc>
      </w:tr>
      <w:tr w:rsidR="00811A74" w14:paraId="4DAFB713" w14:textId="77777777" w:rsidTr="0098373D">
        <w:tc>
          <w:tcPr>
            <w:tcW w:w="2830" w:type="dxa"/>
            <w:vAlign w:val="center"/>
          </w:tcPr>
          <w:p w14:paraId="3E1DC042" w14:textId="690F21D3" w:rsidR="00811A74" w:rsidRPr="00811A74" w:rsidRDefault="00811A74" w:rsidP="00811A74">
            <w:pPr>
              <w:rPr>
                <w:rFonts w:cs="Arial"/>
                <w:sz w:val="20"/>
                <w:szCs w:val="20"/>
              </w:rPr>
            </w:pPr>
            <w:r w:rsidRPr="00811A74">
              <w:rPr>
                <w:rFonts w:cs="Arial"/>
                <w:sz w:val="20"/>
                <w:szCs w:val="20"/>
              </w:rPr>
              <w:t>Decreto 767 de 2022</w:t>
            </w:r>
          </w:p>
        </w:tc>
        <w:tc>
          <w:tcPr>
            <w:tcW w:w="5998" w:type="dxa"/>
            <w:vAlign w:val="center"/>
          </w:tcPr>
          <w:p w14:paraId="166577C0" w14:textId="04919843" w:rsidR="00811A74" w:rsidRPr="00811A74" w:rsidRDefault="00811A74" w:rsidP="00811A74">
            <w:pPr>
              <w:rPr>
                <w:rFonts w:cs="Arial"/>
                <w:iCs/>
                <w:sz w:val="20"/>
                <w:szCs w:val="20"/>
                <w:lang w:val="es-ES_tradnl"/>
              </w:rPr>
            </w:pPr>
            <w:r w:rsidRPr="00811A74">
              <w:rPr>
                <w:rFonts w:cs="Arial"/>
                <w:iCs/>
                <w:sz w:val="20"/>
                <w:szCs w:val="20"/>
              </w:rPr>
              <w:t>Actualización Política de Gobierno digital</w:t>
            </w:r>
          </w:p>
        </w:tc>
      </w:tr>
    </w:tbl>
    <w:p w14:paraId="288F0371" w14:textId="3D265765" w:rsidR="00D30D66" w:rsidRDefault="00D30D66" w:rsidP="00610FA3">
      <w:pPr>
        <w:pStyle w:val="Ttulo1"/>
      </w:pPr>
      <w:bookmarkStart w:id="5" w:name="_Toc211851415"/>
      <w:r>
        <w:t>Documentos De Referencia</w:t>
      </w:r>
      <w:bookmarkEnd w:id="5"/>
    </w:p>
    <w:p w14:paraId="5951A45B" w14:textId="77777777" w:rsidR="00D30D66" w:rsidRPr="00610FA3" w:rsidRDefault="00D30D66" w:rsidP="00610FA3">
      <w:pPr>
        <w:jc w:val="both"/>
        <w:rPr>
          <w:rFonts w:ascii="Arial" w:hAnsi="Arial" w:cs="Arial"/>
        </w:rPr>
      </w:pPr>
      <w:r w:rsidRPr="00610FA3">
        <w:rPr>
          <w:rFonts w:ascii="Arial" w:hAnsi="Arial" w:cs="Arial"/>
        </w:rPr>
        <w:t>El Plan Estratégico de Seguridad de la Información se basa en los siguientes documentos, normas y lineamientos para su estructura y funcionamiento:</w:t>
      </w:r>
    </w:p>
    <w:p w14:paraId="2C1B12D9" w14:textId="77777777" w:rsidR="00D30D66" w:rsidRPr="00610FA3" w:rsidRDefault="00D30D66" w:rsidP="00611A19">
      <w:pPr>
        <w:pStyle w:val="Prrafodelista"/>
        <w:numPr>
          <w:ilvl w:val="0"/>
          <w:numId w:val="16"/>
        </w:numPr>
        <w:jc w:val="both"/>
        <w:rPr>
          <w:rFonts w:ascii="Arial" w:hAnsi="Arial" w:cs="Arial"/>
        </w:rPr>
      </w:pPr>
      <w:r w:rsidRPr="00610FA3">
        <w:rPr>
          <w:rFonts w:ascii="Arial" w:hAnsi="Arial" w:cs="Arial"/>
        </w:rPr>
        <w:t>Decreto 612 de 2018, “</w:t>
      </w:r>
      <w:r w:rsidRPr="00610FA3">
        <w:rPr>
          <w:rFonts w:ascii="Arial" w:hAnsi="Arial" w:cs="Arial"/>
          <w:i/>
          <w:iCs/>
        </w:rPr>
        <w:t>Por el cual se fijan directrices para la integración de los planes institucionales y estratégicos al Plan de Acción por parte de las entidades del Estado</w:t>
      </w:r>
      <w:r w:rsidRPr="00610FA3">
        <w:rPr>
          <w:rFonts w:ascii="Arial" w:hAnsi="Arial" w:cs="Arial"/>
        </w:rPr>
        <w:t>”, donde se encuentra el presente Plan Estratégico de Seguridad de la Información (PESI) como uno de los requisitos a desarrollar para cumplir con esta normativa.</w:t>
      </w:r>
    </w:p>
    <w:p w14:paraId="25AED5DE" w14:textId="77777777" w:rsidR="00D30D66" w:rsidRPr="00610FA3" w:rsidRDefault="00D30D66" w:rsidP="00611A19">
      <w:pPr>
        <w:pStyle w:val="Prrafodelista"/>
        <w:numPr>
          <w:ilvl w:val="0"/>
          <w:numId w:val="16"/>
        </w:numPr>
        <w:jc w:val="both"/>
        <w:rPr>
          <w:rFonts w:ascii="Arial" w:hAnsi="Arial" w:cs="Arial"/>
        </w:rPr>
      </w:pPr>
      <w:r w:rsidRPr="00610FA3">
        <w:rPr>
          <w:rFonts w:ascii="Arial" w:hAnsi="Arial" w:cs="Arial"/>
        </w:rPr>
        <w:t>Resolución 500 de 2021. “</w:t>
      </w:r>
      <w:r w:rsidRPr="00610FA3">
        <w:rPr>
          <w:rFonts w:ascii="Arial" w:hAnsi="Arial" w:cs="Arial"/>
          <w:i/>
          <w:iCs/>
        </w:rPr>
        <w:t>Por la cual se establecen los lineamientos y estándares para la estrategia de seguridad digital y se adopta el modelo de seguridad y privacidad como habilitador de la política de Gobierno Digital</w:t>
      </w:r>
      <w:r w:rsidRPr="00610FA3">
        <w:rPr>
          <w:rFonts w:ascii="Arial" w:hAnsi="Arial" w:cs="Arial"/>
        </w:rPr>
        <w:t>”.</w:t>
      </w:r>
    </w:p>
    <w:p w14:paraId="3F4F609E" w14:textId="77777777" w:rsidR="00D30D66" w:rsidRPr="00610FA3" w:rsidRDefault="00D30D66" w:rsidP="00611A19">
      <w:pPr>
        <w:pStyle w:val="Prrafodelista"/>
        <w:numPr>
          <w:ilvl w:val="0"/>
          <w:numId w:val="16"/>
        </w:numPr>
        <w:jc w:val="both"/>
        <w:rPr>
          <w:rFonts w:ascii="Arial" w:hAnsi="Arial" w:cs="Arial"/>
        </w:rPr>
      </w:pPr>
      <w:r w:rsidRPr="00610FA3">
        <w:rPr>
          <w:rFonts w:ascii="Arial" w:hAnsi="Arial" w:cs="Arial"/>
        </w:rPr>
        <w:t>Manual de Gobierno Digital – MINTIC.</w:t>
      </w:r>
    </w:p>
    <w:p w14:paraId="53A4C9A0" w14:textId="1E65A9BE" w:rsidR="00D30D66" w:rsidRPr="00610FA3" w:rsidRDefault="00D30D66" w:rsidP="00611A19">
      <w:pPr>
        <w:pStyle w:val="Prrafodelista"/>
        <w:numPr>
          <w:ilvl w:val="0"/>
          <w:numId w:val="16"/>
        </w:numPr>
        <w:jc w:val="both"/>
        <w:rPr>
          <w:rFonts w:ascii="Arial" w:hAnsi="Arial" w:cs="Arial"/>
        </w:rPr>
      </w:pPr>
      <w:r w:rsidRPr="00610FA3">
        <w:rPr>
          <w:rFonts w:ascii="Arial" w:hAnsi="Arial" w:cs="Arial"/>
        </w:rPr>
        <w:t>Modelo de Seguridad y Privacidad de la Información MSPI– MINTIC.</w:t>
      </w:r>
    </w:p>
    <w:p w14:paraId="4EF4B3DF" w14:textId="1FB61D4E" w:rsidR="006276B3" w:rsidRDefault="00974189" w:rsidP="00610FA3">
      <w:pPr>
        <w:pStyle w:val="Ttulo1"/>
      </w:pPr>
      <w:bookmarkStart w:id="6" w:name="_Toc211851416"/>
      <w:r w:rsidRPr="00974189">
        <w:lastRenderedPageBreak/>
        <w:t>Estado actual de la entidad respecto al Sistema de Gestión de Seguridad de la Información (SGSI)</w:t>
      </w:r>
      <w:bookmarkEnd w:id="6"/>
    </w:p>
    <w:p w14:paraId="2EDD036C" w14:textId="227AEE0B" w:rsidR="00974189" w:rsidRPr="00C92A13" w:rsidRDefault="00974189" w:rsidP="00610FA3">
      <w:pPr>
        <w:jc w:val="both"/>
        <w:rPr>
          <w:rFonts w:ascii="Arial" w:hAnsi="Arial" w:cs="Arial"/>
        </w:rPr>
      </w:pPr>
      <w:r w:rsidRPr="00C92A13">
        <w:rPr>
          <w:rFonts w:ascii="Arial" w:hAnsi="Arial" w:cs="Arial"/>
        </w:rPr>
        <w:t>Actualmente, la Alcaldía de Armenia cuenta con una base estructural para la gestión de la seguridad de la información, sustentada en la Política General de Seguridad de la Información, el Plan de Seguridad y Privacidad de la Información y el avance en la adopción del Modelo de Seguridad y Privacidad de la Información (MSPI).</w:t>
      </w:r>
    </w:p>
    <w:p w14:paraId="659850BA" w14:textId="2286BA09" w:rsidR="0023257D" w:rsidRPr="00C92A13" w:rsidRDefault="00974189" w:rsidP="00610FA3">
      <w:pPr>
        <w:jc w:val="both"/>
        <w:rPr>
          <w:rFonts w:ascii="Arial" w:hAnsi="Arial" w:cs="Arial"/>
        </w:rPr>
      </w:pPr>
      <w:r w:rsidRPr="00C92A13">
        <w:rPr>
          <w:rFonts w:ascii="Arial" w:hAnsi="Arial" w:cs="Arial"/>
        </w:rPr>
        <w:t>Entre los principales avances identificados se encuentran:</w:t>
      </w:r>
    </w:p>
    <w:p w14:paraId="529DB62F" w14:textId="1192C243" w:rsidR="00974189" w:rsidRPr="00C92A13" w:rsidRDefault="00974189" w:rsidP="00611A19">
      <w:pPr>
        <w:pStyle w:val="Prrafodelista"/>
        <w:numPr>
          <w:ilvl w:val="0"/>
          <w:numId w:val="4"/>
        </w:numPr>
        <w:jc w:val="both"/>
        <w:rPr>
          <w:rFonts w:ascii="Arial" w:hAnsi="Arial" w:cs="Arial"/>
        </w:rPr>
      </w:pPr>
      <w:r w:rsidRPr="00C92A13">
        <w:rPr>
          <w:rFonts w:ascii="Arial" w:hAnsi="Arial" w:cs="Arial"/>
        </w:rPr>
        <w:t>La existencia de políticas formales de seguridad de la información y de protección de datos personales, alineadas con la legislación nacional.</w:t>
      </w:r>
    </w:p>
    <w:p w14:paraId="00648F4A" w14:textId="228AC94E" w:rsidR="00974189" w:rsidRPr="00C92A13" w:rsidRDefault="00974189" w:rsidP="00611A19">
      <w:pPr>
        <w:pStyle w:val="Prrafodelista"/>
        <w:numPr>
          <w:ilvl w:val="0"/>
          <w:numId w:val="4"/>
        </w:numPr>
        <w:jc w:val="both"/>
        <w:rPr>
          <w:rFonts w:ascii="Arial" w:hAnsi="Arial" w:cs="Arial"/>
        </w:rPr>
      </w:pPr>
      <w:r w:rsidRPr="00C92A13">
        <w:rPr>
          <w:rFonts w:ascii="Arial" w:hAnsi="Arial" w:cs="Arial"/>
        </w:rPr>
        <w:t>La definición de roles y responsabilidades básicas en materia de seguridad digital dentro de la Secretaría TIC.</w:t>
      </w:r>
    </w:p>
    <w:p w14:paraId="39E31158" w14:textId="63881DFB" w:rsidR="00974189" w:rsidRPr="00C92A13" w:rsidRDefault="00974189" w:rsidP="00611A19">
      <w:pPr>
        <w:pStyle w:val="Prrafodelista"/>
        <w:numPr>
          <w:ilvl w:val="0"/>
          <w:numId w:val="4"/>
        </w:numPr>
        <w:jc w:val="both"/>
        <w:rPr>
          <w:rFonts w:ascii="Arial" w:hAnsi="Arial" w:cs="Arial"/>
        </w:rPr>
      </w:pPr>
      <w:r w:rsidRPr="00C92A13">
        <w:rPr>
          <w:rFonts w:ascii="Arial" w:hAnsi="Arial" w:cs="Arial"/>
        </w:rPr>
        <w:t>El desarrollo de instrumentos técnicos como el inventario de activos de información, la matriz de riesgos, los procedimientos de control de acceso y la gestión de contraseñas.</w:t>
      </w:r>
    </w:p>
    <w:p w14:paraId="63027F0F" w14:textId="571D2EA4" w:rsidR="00974189" w:rsidRPr="00C92A13" w:rsidRDefault="00974189" w:rsidP="00611A19">
      <w:pPr>
        <w:pStyle w:val="Prrafodelista"/>
        <w:numPr>
          <w:ilvl w:val="0"/>
          <w:numId w:val="4"/>
        </w:numPr>
        <w:jc w:val="both"/>
        <w:rPr>
          <w:rFonts w:ascii="Arial" w:hAnsi="Arial" w:cs="Arial"/>
        </w:rPr>
      </w:pPr>
      <w:r w:rsidRPr="00C92A13">
        <w:rPr>
          <w:rFonts w:ascii="Arial" w:hAnsi="Arial" w:cs="Arial"/>
        </w:rPr>
        <w:t>La implementación de mecanismos de capacitación y sensibilización en temas de seguridad y privacidad.</w:t>
      </w:r>
    </w:p>
    <w:p w14:paraId="4470C885" w14:textId="6BCEAC53" w:rsidR="00974189" w:rsidRPr="00C92A13" w:rsidRDefault="00974189" w:rsidP="00610FA3">
      <w:pPr>
        <w:jc w:val="both"/>
        <w:rPr>
          <w:rFonts w:ascii="Arial" w:hAnsi="Arial" w:cs="Arial"/>
        </w:rPr>
      </w:pPr>
      <w:r w:rsidRPr="00C92A13">
        <w:rPr>
          <w:rFonts w:ascii="Arial" w:hAnsi="Arial" w:cs="Arial"/>
        </w:rPr>
        <w:t>Sin embargo, el diagnóstico institucional evidencia algunos retos a fortalecer durante el periodo 2025–2027:</w:t>
      </w:r>
    </w:p>
    <w:p w14:paraId="4B344483" w14:textId="6E633AD1" w:rsidR="00974189" w:rsidRPr="00C92A13" w:rsidRDefault="00974189" w:rsidP="00611A19">
      <w:pPr>
        <w:pStyle w:val="Prrafodelista"/>
        <w:numPr>
          <w:ilvl w:val="0"/>
          <w:numId w:val="5"/>
        </w:numPr>
        <w:jc w:val="both"/>
        <w:rPr>
          <w:rFonts w:ascii="Arial" w:hAnsi="Arial" w:cs="Arial"/>
        </w:rPr>
      </w:pPr>
      <w:r w:rsidRPr="00C92A13">
        <w:rPr>
          <w:rFonts w:ascii="Arial" w:hAnsi="Arial" w:cs="Arial"/>
        </w:rPr>
        <w:t>Ausencia de un SGSI completamente formalizado y documentado conforme a la norma ISO/IEC 27001:2022.</w:t>
      </w:r>
    </w:p>
    <w:p w14:paraId="27F60ECA" w14:textId="6FD448B4" w:rsidR="00974189" w:rsidRPr="00C92A13" w:rsidRDefault="00974189" w:rsidP="00611A19">
      <w:pPr>
        <w:pStyle w:val="Prrafodelista"/>
        <w:numPr>
          <w:ilvl w:val="0"/>
          <w:numId w:val="5"/>
        </w:numPr>
        <w:jc w:val="both"/>
        <w:rPr>
          <w:rFonts w:ascii="Arial" w:hAnsi="Arial" w:cs="Arial"/>
        </w:rPr>
      </w:pPr>
      <w:r w:rsidRPr="00C92A13">
        <w:rPr>
          <w:rFonts w:ascii="Arial" w:hAnsi="Arial" w:cs="Arial"/>
        </w:rPr>
        <w:t>Necesidad de una gobernanza transversal de la seguridad de la información en todas las dependencias.</w:t>
      </w:r>
    </w:p>
    <w:p w14:paraId="25A21528" w14:textId="77777777" w:rsidR="00974189" w:rsidRPr="00C92A13" w:rsidRDefault="00974189" w:rsidP="00611A19">
      <w:pPr>
        <w:pStyle w:val="Prrafodelista"/>
        <w:numPr>
          <w:ilvl w:val="0"/>
          <w:numId w:val="5"/>
        </w:numPr>
        <w:jc w:val="both"/>
        <w:rPr>
          <w:rFonts w:ascii="Arial" w:hAnsi="Arial" w:cs="Arial"/>
        </w:rPr>
      </w:pPr>
      <w:r w:rsidRPr="00C92A13">
        <w:rPr>
          <w:rFonts w:ascii="Arial" w:hAnsi="Arial" w:cs="Arial"/>
        </w:rPr>
        <w:t>Limitada capacidad técnica y presupuestal para ejecutar proyectos de fortalecimiento tecnológico y de ciberseguridad.</w:t>
      </w:r>
    </w:p>
    <w:p w14:paraId="5251B6EE" w14:textId="3DF60712" w:rsidR="00974189" w:rsidRPr="00C92A13" w:rsidRDefault="00974189" w:rsidP="00611A19">
      <w:pPr>
        <w:pStyle w:val="Prrafodelista"/>
        <w:numPr>
          <w:ilvl w:val="0"/>
          <w:numId w:val="5"/>
        </w:numPr>
        <w:jc w:val="both"/>
        <w:rPr>
          <w:rFonts w:ascii="Arial" w:hAnsi="Arial" w:cs="Arial"/>
        </w:rPr>
      </w:pPr>
      <w:r w:rsidRPr="00C92A13">
        <w:rPr>
          <w:rFonts w:ascii="Arial" w:hAnsi="Arial" w:cs="Arial"/>
        </w:rPr>
        <w:t>Falta de seguimiento sistemático a los indicadores de desempeño y planes de mejora continua del MSPI.</w:t>
      </w:r>
    </w:p>
    <w:p w14:paraId="45CF2C89" w14:textId="23E39F4E" w:rsidR="00974189" w:rsidRPr="00C92A13" w:rsidRDefault="00974189" w:rsidP="00611A19">
      <w:pPr>
        <w:pStyle w:val="Prrafodelista"/>
        <w:numPr>
          <w:ilvl w:val="0"/>
          <w:numId w:val="5"/>
        </w:numPr>
        <w:jc w:val="both"/>
        <w:rPr>
          <w:rFonts w:ascii="Arial" w:hAnsi="Arial" w:cs="Arial"/>
        </w:rPr>
      </w:pPr>
      <w:r w:rsidRPr="00C92A13">
        <w:rPr>
          <w:rFonts w:ascii="Arial" w:hAnsi="Arial" w:cs="Arial"/>
        </w:rPr>
        <w:t>Escaso nivel de madurez en la cultura institucional de seguridad digital, particularmente entre funcionarios y contratistas.</w:t>
      </w:r>
    </w:p>
    <w:p w14:paraId="6E56F0DA" w14:textId="76C0E530" w:rsidR="00974189" w:rsidRPr="00C92A13" w:rsidRDefault="00974189" w:rsidP="00610FA3">
      <w:pPr>
        <w:jc w:val="both"/>
        <w:rPr>
          <w:rFonts w:ascii="Arial" w:hAnsi="Arial" w:cs="Arial"/>
        </w:rPr>
      </w:pPr>
      <w:r w:rsidRPr="00C92A13">
        <w:rPr>
          <w:rFonts w:ascii="Arial" w:hAnsi="Arial" w:cs="Arial"/>
        </w:rPr>
        <w:t xml:space="preserve">Por lo anterior, este Plan Estratégico establece una hoja de ruta orientada a evolucionar desde un modelo de cumplimiento normativo hacia un modelo integral </w:t>
      </w:r>
      <w:r w:rsidRPr="00C92A13">
        <w:rPr>
          <w:rFonts w:ascii="Arial" w:hAnsi="Arial" w:cs="Arial"/>
        </w:rPr>
        <w:lastRenderedPageBreak/>
        <w:t>de gestión del riesgo y seguridad digital, asegurando que la protección de la información sea parte esencial de la operación institucional.</w:t>
      </w:r>
    </w:p>
    <w:p w14:paraId="5210C2FD" w14:textId="55ED12C6" w:rsidR="00974189" w:rsidRPr="00C92A13" w:rsidRDefault="00974189" w:rsidP="00610FA3">
      <w:pPr>
        <w:pStyle w:val="Ttulo1"/>
      </w:pPr>
      <w:bookmarkStart w:id="7" w:name="_Toc211851417"/>
      <w:r w:rsidRPr="00C92A13">
        <w:t>Estrategias para la Seguridad y Privacidad de la Información</w:t>
      </w:r>
      <w:bookmarkEnd w:id="7"/>
    </w:p>
    <w:p w14:paraId="385CC0FC" w14:textId="410F075D" w:rsidR="00974189" w:rsidRPr="00C92A13" w:rsidRDefault="00974189" w:rsidP="00610FA3">
      <w:pPr>
        <w:jc w:val="both"/>
        <w:rPr>
          <w:rFonts w:ascii="Arial" w:hAnsi="Arial" w:cs="Arial"/>
        </w:rPr>
      </w:pPr>
      <w:r w:rsidRPr="00C92A13">
        <w:rPr>
          <w:rFonts w:ascii="Arial" w:hAnsi="Arial" w:cs="Arial"/>
        </w:rPr>
        <w:t>Con base en el diagnóstico y en los objetivos institucionales, la Alcaldía de Armenia define las siguientes estrategias estratégicas y operativas para el fortalecimiento del Sistema de Gestión de Seguridad y Privacidad de la Información (SGSI):</w:t>
      </w:r>
    </w:p>
    <w:p w14:paraId="5237A09C" w14:textId="795E7477" w:rsidR="00974189" w:rsidRPr="00C92A13" w:rsidRDefault="00974189" w:rsidP="00610FA3">
      <w:pPr>
        <w:pStyle w:val="Ttulo2"/>
      </w:pPr>
      <w:bookmarkStart w:id="8" w:name="_Toc211851418"/>
      <w:r w:rsidRPr="00C92A13">
        <w:t>Estrategia 1. Gobernanza y gestión institucional de la seguridad de la información</w:t>
      </w:r>
      <w:bookmarkEnd w:id="8"/>
    </w:p>
    <w:p w14:paraId="1FE4BFDE" w14:textId="4A5F776A" w:rsidR="00974189" w:rsidRPr="00C92A13" w:rsidRDefault="00974189" w:rsidP="00610FA3">
      <w:pPr>
        <w:jc w:val="both"/>
        <w:rPr>
          <w:rFonts w:ascii="Arial" w:hAnsi="Arial" w:cs="Arial"/>
        </w:rPr>
      </w:pPr>
      <w:r w:rsidRPr="00C92A13">
        <w:rPr>
          <w:rFonts w:ascii="Arial" w:hAnsi="Arial" w:cs="Arial"/>
          <w:b/>
          <w:bCs/>
        </w:rPr>
        <w:t>Descripción:</w:t>
      </w:r>
      <w:r w:rsidRPr="00C92A13">
        <w:rPr>
          <w:rFonts w:ascii="Arial" w:hAnsi="Arial" w:cs="Arial"/>
        </w:rPr>
        <w:t xml:space="preserve"> Fortalecer la estructura organizacional y la gobernanza del SGSI mediante la definición clara de roles, responsabilidades y mecanismos de control, asegurando la </w:t>
      </w:r>
      <w:proofErr w:type="gramStart"/>
      <w:r w:rsidRPr="00C92A13">
        <w:rPr>
          <w:rFonts w:ascii="Arial" w:hAnsi="Arial" w:cs="Arial"/>
        </w:rPr>
        <w:t>participación activa</w:t>
      </w:r>
      <w:proofErr w:type="gramEnd"/>
      <w:r w:rsidRPr="00C92A13">
        <w:rPr>
          <w:rFonts w:ascii="Arial" w:hAnsi="Arial" w:cs="Arial"/>
        </w:rPr>
        <w:t xml:space="preserve"> de todas las dependencias en la protección de los activos de información.</w:t>
      </w:r>
    </w:p>
    <w:p w14:paraId="25A1780C" w14:textId="77777777" w:rsidR="00974189" w:rsidRPr="00C92A13" w:rsidRDefault="00974189" w:rsidP="00974189">
      <w:pPr>
        <w:rPr>
          <w:rFonts w:ascii="Arial" w:hAnsi="Arial" w:cs="Arial"/>
        </w:rPr>
      </w:pPr>
      <w:r w:rsidRPr="00C92A13">
        <w:rPr>
          <w:rFonts w:ascii="Arial" w:hAnsi="Arial" w:cs="Arial"/>
          <w:b/>
          <w:bCs/>
        </w:rPr>
        <w:t>Líneas de acción:</w:t>
      </w:r>
    </w:p>
    <w:p w14:paraId="3E873A61" w14:textId="77777777" w:rsidR="00974189" w:rsidRPr="00C92A13" w:rsidRDefault="00974189" w:rsidP="00611A19">
      <w:pPr>
        <w:pStyle w:val="Prrafodelista"/>
        <w:numPr>
          <w:ilvl w:val="0"/>
          <w:numId w:val="6"/>
        </w:numPr>
        <w:rPr>
          <w:rFonts w:ascii="Arial" w:hAnsi="Arial" w:cs="Arial"/>
        </w:rPr>
      </w:pPr>
      <w:r w:rsidRPr="00C92A13">
        <w:rPr>
          <w:rFonts w:ascii="Arial" w:hAnsi="Arial" w:cs="Arial"/>
        </w:rPr>
        <w:t>Actualizar y aprobar el marco normativo de seguridad (políticas, manuales, procedimientos).</w:t>
      </w:r>
    </w:p>
    <w:p w14:paraId="64D762CB" w14:textId="77777777" w:rsidR="00974189" w:rsidRPr="00C92A13" w:rsidRDefault="00974189" w:rsidP="00611A19">
      <w:pPr>
        <w:pStyle w:val="Prrafodelista"/>
        <w:numPr>
          <w:ilvl w:val="0"/>
          <w:numId w:val="6"/>
        </w:numPr>
        <w:rPr>
          <w:rFonts w:ascii="Arial" w:hAnsi="Arial" w:cs="Arial"/>
        </w:rPr>
      </w:pPr>
      <w:r w:rsidRPr="00C92A13">
        <w:rPr>
          <w:rFonts w:ascii="Arial" w:hAnsi="Arial" w:cs="Arial"/>
        </w:rPr>
        <w:t>Consolidar el Comité de Seguridad de la Información como instancia permanente de decisión.</w:t>
      </w:r>
    </w:p>
    <w:p w14:paraId="373E5042" w14:textId="7965D48A" w:rsidR="00974189" w:rsidRPr="00C92A13" w:rsidRDefault="00974189" w:rsidP="00611A19">
      <w:pPr>
        <w:pStyle w:val="Prrafodelista"/>
        <w:numPr>
          <w:ilvl w:val="0"/>
          <w:numId w:val="6"/>
        </w:numPr>
        <w:rPr>
          <w:rFonts w:ascii="Arial" w:hAnsi="Arial" w:cs="Arial"/>
        </w:rPr>
      </w:pPr>
      <w:r w:rsidRPr="00C92A13">
        <w:rPr>
          <w:rFonts w:ascii="Arial" w:hAnsi="Arial" w:cs="Arial"/>
        </w:rPr>
        <w:t xml:space="preserve">Designar oficialmente al responsable de Seguridad y Privacidad de la </w:t>
      </w:r>
      <w:r w:rsidR="00610FA3" w:rsidRPr="00C92A13">
        <w:rPr>
          <w:rFonts w:ascii="Arial" w:hAnsi="Arial" w:cs="Arial"/>
        </w:rPr>
        <w:t>Información.</w:t>
      </w:r>
    </w:p>
    <w:p w14:paraId="12641566" w14:textId="6E6E3628" w:rsidR="00974189" w:rsidRPr="00C92A13" w:rsidRDefault="00974189" w:rsidP="00610FA3">
      <w:pPr>
        <w:pStyle w:val="Ttulo2"/>
      </w:pPr>
      <w:bookmarkStart w:id="9" w:name="_Toc211851419"/>
      <w:r w:rsidRPr="00C92A13">
        <w:t>Estrategia 2. Gestión integral del riesgo de seguridad y privacidad</w:t>
      </w:r>
      <w:bookmarkEnd w:id="9"/>
    </w:p>
    <w:p w14:paraId="43BEDF41" w14:textId="073C881D" w:rsidR="00974189" w:rsidRPr="00C92A13" w:rsidRDefault="00974189" w:rsidP="00610FA3">
      <w:pPr>
        <w:jc w:val="both"/>
        <w:rPr>
          <w:rFonts w:ascii="Arial" w:hAnsi="Arial" w:cs="Arial"/>
        </w:rPr>
      </w:pPr>
      <w:r w:rsidRPr="00C92A13">
        <w:rPr>
          <w:rFonts w:ascii="Arial" w:hAnsi="Arial" w:cs="Arial"/>
          <w:b/>
          <w:bCs/>
        </w:rPr>
        <w:t>Descripción:</w:t>
      </w:r>
      <w:r w:rsidRPr="00C92A13">
        <w:rPr>
          <w:rFonts w:ascii="Arial" w:hAnsi="Arial" w:cs="Arial"/>
        </w:rPr>
        <w:t xml:space="preserve"> Implementar un proceso continuo de identificación, análisis, valoración y tratamiento de riesgos asociados a los activos de información, considerando amenazas tecnológicas, humanas y de entorno.</w:t>
      </w:r>
    </w:p>
    <w:p w14:paraId="0C8790CB" w14:textId="77777777" w:rsidR="00974189" w:rsidRPr="00974189" w:rsidRDefault="00974189" w:rsidP="00610FA3">
      <w:pPr>
        <w:jc w:val="both"/>
      </w:pPr>
      <w:r w:rsidRPr="00974189">
        <w:rPr>
          <w:b/>
          <w:bCs/>
        </w:rPr>
        <w:t>Líneas de acción:</w:t>
      </w:r>
    </w:p>
    <w:p w14:paraId="47CA6D80" w14:textId="77777777" w:rsidR="00974189" w:rsidRPr="00974189" w:rsidRDefault="00974189" w:rsidP="00611A19">
      <w:pPr>
        <w:pStyle w:val="Prrafodelista"/>
        <w:numPr>
          <w:ilvl w:val="0"/>
          <w:numId w:val="7"/>
        </w:numPr>
        <w:jc w:val="both"/>
      </w:pPr>
      <w:r w:rsidRPr="00974189">
        <w:t>Mantener actualizada la matriz de riesgos de seguridad y privacidad.</w:t>
      </w:r>
    </w:p>
    <w:p w14:paraId="3BD7925B" w14:textId="77777777" w:rsidR="00974189" w:rsidRPr="00C92A13" w:rsidRDefault="00974189" w:rsidP="00611A19">
      <w:pPr>
        <w:pStyle w:val="Prrafodelista"/>
        <w:numPr>
          <w:ilvl w:val="0"/>
          <w:numId w:val="7"/>
        </w:numPr>
        <w:jc w:val="both"/>
        <w:rPr>
          <w:rFonts w:ascii="Arial" w:hAnsi="Arial" w:cs="Arial"/>
        </w:rPr>
      </w:pPr>
      <w:r w:rsidRPr="00C92A13">
        <w:rPr>
          <w:rFonts w:ascii="Arial" w:hAnsi="Arial" w:cs="Arial"/>
        </w:rPr>
        <w:lastRenderedPageBreak/>
        <w:t>Establecer planes de tratamiento con responsables, tiempos y medidas de mitigación.</w:t>
      </w:r>
    </w:p>
    <w:p w14:paraId="58167224" w14:textId="77777777" w:rsidR="00974189" w:rsidRPr="00C92A13" w:rsidRDefault="00974189" w:rsidP="00611A19">
      <w:pPr>
        <w:pStyle w:val="Prrafodelista"/>
        <w:numPr>
          <w:ilvl w:val="0"/>
          <w:numId w:val="7"/>
        </w:numPr>
        <w:jc w:val="both"/>
        <w:rPr>
          <w:rFonts w:ascii="Arial" w:hAnsi="Arial" w:cs="Arial"/>
        </w:rPr>
      </w:pPr>
      <w:r w:rsidRPr="00C92A13">
        <w:rPr>
          <w:rFonts w:ascii="Arial" w:hAnsi="Arial" w:cs="Arial"/>
        </w:rPr>
        <w:t>Incorporar la gestión de riesgos de ciberseguridad en el Plan de Continuidad del Negocio.</w:t>
      </w:r>
    </w:p>
    <w:p w14:paraId="7AACD326" w14:textId="61B1E9E3" w:rsidR="00974189" w:rsidRPr="00C92A13" w:rsidRDefault="00974189" w:rsidP="00610FA3">
      <w:pPr>
        <w:pStyle w:val="Ttulo2"/>
      </w:pPr>
      <w:bookmarkStart w:id="10" w:name="_Toc211851420"/>
      <w:r w:rsidRPr="00C92A13">
        <w:t>Estrategia 3. Protección tecnológica y control de acceso</w:t>
      </w:r>
      <w:bookmarkEnd w:id="10"/>
    </w:p>
    <w:p w14:paraId="75F6829F" w14:textId="185EE75D" w:rsidR="00974189" w:rsidRPr="00C92A13" w:rsidRDefault="00974189" w:rsidP="00610FA3">
      <w:pPr>
        <w:jc w:val="both"/>
        <w:rPr>
          <w:rFonts w:ascii="Arial" w:hAnsi="Arial" w:cs="Arial"/>
        </w:rPr>
      </w:pPr>
      <w:r w:rsidRPr="00C92A13">
        <w:rPr>
          <w:rFonts w:ascii="Arial" w:hAnsi="Arial" w:cs="Arial"/>
          <w:b/>
          <w:bCs/>
        </w:rPr>
        <w:t>Descripción:</w:t>
      </w:r>
      <w:r w:rsidR="006D6EE3" w:rsidRPr="00C92A13">
        <w:rPr>
          <w:rFonts w:ascii="Arial" w:hAnsi="Arial" w:cs="Arial"/>
        </w:rPr>
        <w:t xml:space="preserve"> </w:t>
      </w:r>
      <w:r w:rsidRPr="00C92A13">
        <w:rPr>
          <w:rFonts w:ascii="Arial" w:hAnsi="Arial" w:cs="Arial"/>
        </w:rPr>
        <w:t>Fortalecer las medidas técnicas y operativas que garanticen la protección perimetral, la autenticación segura y el acceso controlado a la información y sistemas institucionales.</w:t>
      </w:r>
    </w:p>
    <w:p w14:paraId="0CFE0174" w14:textId="77777777" w:rsidR="00974189" w:rsidRPr="00C92A13" w:rsidRDefault="00974189" w:rsidP="00610FA3">
      <w:pPr>
        <w:jc w:val="both"/>
        <w:rPr>
          <w:rFonts w:ascii="Arial" w:hAnsi="Arial" w:cs="Arial"/>
        </w:rPr>
      </w:pPr>
      <w:r w:rsidRPr="00C92A13">
        <w:rPr>
          <w:rFonts w:ascii="Arial" w:hAnsi="Arial" w:cs="Arial"/>
          <w:b/>
          <w:bCs/>
        </w:rPr>
        <w:t>Líneas de acción:</w:t>
      </w:r>
    </w:p>
    <w:p w14:paraId="078A8401" w14:textId="77777777" w:rsidR="00974189" w:rsidRPr="00C92A13" w:rsidRDefault="00974189" w:rsidP="00611A19">
      <w:pPr>
        <w:pStyle w:val="Prrafodelista"/>
        <w:numPr>
          <w:ilvl w:val="0"/>
          <w:numId w:val="8"/>
        </w:numPr>
        <w:jc w:val="both"/>
        <w:rPr>
          <w:rFonts w:ascii="Arial" w:hAnsi="Arial" w:cs="Arial"/>
        </w:rPr>
      </w:pPr>
      <w:r w:rsidRPr="00C92A13">
        <w:rPr>
          <w:rFonts w:ascii="Arial" w:hAnsi="Arial" w:cs="Arial"/>
        </w:rPr>
        <w:t>Implementar controles de acceso basados en roles (RBAC) y políticas de contraseñas robustas.</w:t>
      </w:r>
    </w:p>
    <w:p w14:paraId="67F6CB11" w14:textId="77777777" w:rsidR="00974189" w:rsidRPr="00C92A13" w:rsidRDefault="00974189" w:rsidP="00611A19">
      <w:pPr>
        <w:pStyle w:val="Prrafodelista"/>
        <w:numPr>
          <w:ilvl w:val="0"/>
          <w:numId w:val="8"/>
        </w:numPr>
        <w:jc w:val="both"/>
        <w:rPr>
          <w:rFonts w:ascii="Arial" w:hAnsi="Arial" w:cs="Arial"/>
        </w:rPr>
      </w:pPr>
      <w:r w:rsidRPr="00C92A13">
        <w:rPr>
          <w:rFonts w:ascii="Arial" w:hAnsi="Arial" w:cs="Arial"/>
        </w:rPr>
        <w:t>Reforzar los mecanismos de seguridad perimetral, antivirus, firewall y monitoreo de red.</w:t>
      </w:r>
    </w:p>
    <w:p w14:paraId="01D92791" w14:textId="77777777" w:rsidR="00974189" w:rsidRPr="00C92A13" w:rsidRDefault="00974189" w:rsidP="00611A19">
      <w:pPr>
        <w:pStyle w:val="Prrafodelista"/>
        <w:numPr>
          <w:ilvl w:val="0"/>
          <w:numId w:val="8"/>
        </w:numPr>
        <w:jc w:val="both"/>
        <w:rPr>
          <w:rFonts w:ascii="Arial" w:hAnsi="Arial" w:cs="Arial"/>
        </w:rPr>
      </w:pPr>
      <w:r w:rsidRPr="00C92A13">
        <w:rPr>
          <w:rFonts w:ascii="Arial" w:hAnsi="Arial" w:cs="Arial"/>
        </w:rPr>
        <w:t>Asegurar la integridad de las copias de respaldo mediante procedimientos verificados.</w:t>
      </w:r>
    </w:p>
    <w:p w14:paraId="02CF97BB" w14:textId="77777777" w:rsidR="00974189" w:rsidRPr="00C92A13" w:rsidRDefault="00974189" w:rsidP="00611A19">
      <w:pPr>
        <w:pStyle w:val="Prrafodelista"/>
        <w:numPr>
          <w:ilvl w:val="0"/>
          <w:numId w:val="8"/>
        </w:numPr>
        <w:jc w:val="both"/>
        <w:rPr>
          <w:rFonts w:ascii="Arial" w:hAnsi="Arial" w:cs="Arial"/>
        </w:rPr>
      </w:pPr>
      <w:r w:rsidRPr="00C92A13">
        <w:rPr>
          <w:rFonts w:ascii="Arial" w:hAnsi="Arial" w:cs="Arial"/>
        </w:rPr>
        <w:t>Promover la adopción de tecnologías seguras (VPN, cifrado, doble autenticación).</w:t>
      </w:r>
    </w:p>
    <w:p w14:paraId="54E1F7D8" w14:textId="36E666D4" w:rsidR="00974189" w:rsidRPr="00C92A13" w:rsidRDefault="00974189" w:rsidP="00610FA3">
      <w:pPr>
        <w:pStyle w:val="Ttulo2"/>
      </w:pPr>
      <w:bookmarkStart w:id="11" w:name="_Toc211851421"/>
      <w:r w:rsidRPr="00C92A13">
        <w:t>Estrategia 4. Cultura institucional y capacitación continua</w:t>
      </w:r>
      <w:bookmarkEnd w:id="11"/>
    </w:p>
    <w:p w14:paraId="389D7171" w14:textId="6DA3BBB6" w:rsidR="00974189" w:rsidRPr="00C92A13" w:rsidRDefault="00974189" w:rsidP="00610FA3">
      <w:pPr>
        <w:jc w:val="both"/>
        <w:rPr>
          <w:rFonts w:ascii="Arial" w:hAnsi="Arial" w:cs="Arial"/>
        </w:rPr>
      </w:pPr>
      <w:r w:rsidRPr="00C92A13">
        <w:rPr>
          <w:rFonts w:ascii="Arial" w:hAnsi="Arial" w:cs="Arial"/>
          <w:b/>
          <w:bCs/>
        </w:rPr>
        <w:t>Descripción:</w:t>
      </w:r>
      <w:r w:rsidRPr="00C92A13">
        <w:rPr>
          <w:rFonts w:ascii="Arial" w:hAnsi="Arial" w:cs="Arial"/>
        </w:rPr>
        <w:t xml:space="preserve"> Promover la formación y sensibilización permanente de los funcionarios y contratistas sobre el manejo seguro de la información, la protección de datos personales y la prevención de incidentes de seguridad.</w:t>
      </w:r>
    </w:p>
    <w:p w14:paraId="0B15C170" w14:textId="77777777" w:rsidR="00974189" w:rsidRPr="00C92A13" w:rsidRDefault="00974189" w:rsidP="00610FA3">
      <w:pPr>
        <w:jc w:val="both"/>
        <w:rPr>
          <w:rFonts w:ascii="Arial" w:hAnsi="Arial" w:cs="Arial"/>
        </w:rPr>
      </w:pPr>
      <w:r w:rsidRPr="00C92A13">
        <w:rPr>
          <w:rFonts w:ascii="Arial" w:hAnsi="Arial" w:cs="Arial"/>
          <w:b/>
          <w:bCs/>
        </w:rPr>
        <w:t>Líneas de acción:</w:t>
      </w:r>
    </w:p>
    <w:p w14:paraId="5CAAA0CE" w14:textId="77777777" w:rsidR="00974189" w:rsidRPr="00C92A13" w:rsidRDefault="00974189" w:rsidP="00611A19">
      <w:pPr>
        <w:pStyle w:val="Prrafodelista"/>
        <w:numPr>
          <w:ilvl w:val="0"/>
          <w:numId w:val="9"/>
        </w:numPr>
        <w:jc w:val="both"/>
        <w:rPr>
          <w:rFonts w:ascii="Arial" w:hAnsi="Arial" w:cs="Arial"/>
        </w:rPr>
      </w:pPr>
      <w:r w:rsidRPr="00C92A13">
        <w:rPr>
          <w:rFonts w:ascii="Arial" w:hAnsi="Arial" w:cs="Arial"/>
        </w:rPr>
        <w:t>Implementar un plan anual de capacitación en seguridad y privacidad.</w:t>
      </w:r>
    </w:p>
    <w:p w14:paraId="18E7E4BE" w14:textId="77777777" w:rsidR="00974189" w:rsidRPr="00C92A13" w:rsidRDefault="00974189" w:rsidP="00611A19">
      <w:pPr>
        <w:pStyle w:val="Prrafodelista"/>
        <w:numPr>
          <w:ilvl w:val="0"/>
          <w:numId w:val="9"/>
        </w:numPr>
        <w:jc w:val="both"/>
        <w:rPr>
          <w:rFonts w:ascii="Arial" w:hAnsi="Arial" w:cs="Arial"/>
        </w:rPr>
      </w:pPr>
      <w:r w:rsidRPr="00C92A13">
        <w:rPr>
          <w:rFonts w:ascii="Arial" w:hAnsi="Arial" w:cs="Arial"/>
        </w:rPr>
        <w:t>Desarrollar campañas de sensibilización y comunicación interna.</w:t>
      </w:r>
    </w:p>
    <w:p w14:paraId="7330FE1A" w14:textId="6362BC56" w:rsidR="00974189" w:rsidRPr="00C92A13" w:rsidRDefault="00974189" w:rsidP="00611A19">
      <w:pPr>
        <w:pStyle w:val="Prrafodelista"/>
        <w:numPr>
          <w:ilvl w:val="0"/>
          <w:numId w:val="9"/>
        </w:numPr>
        <w:jc w:val="both"/>
        <w:rPr>
          <w:rFonts w:ascii="Arial" w:hAnsi="Arial" w:cs="Arial"/>
        </w:rPr>
      </w:pPr>
      <w:r w:rsidRPr="00C92A13">
        <w:rPr>
          <w:rFonts w:ascii="Arial" w:hAnsi="Arial" w:cs="Arial"/>
        </w:rPr>
        <w:t>Incorporar temas de seguridad de la información en los procesos de inducción y reinducción.</w:t>
      </w:r>
    </w:p>
    <w:p w14:paraId="6EE6F46D" w14:textId="0BDE9A2E" w:rsidR="00974189" w:rsidRPr="00974189" w:rsidRDefault="00974189" w:rsidP="00610FA3">
      <w:pPr>
        <w:pStyle w:val="Ttulo2"/>
      </w:pPr>
      <w:bookmarkStart w:id="12" w:name="_Toc211851422"/>
      <w:r w:rsidRPr="00974189">
        <w:t xml:space="preserve">Estrategia </w:t>
      </w:r>
      <w:r>
        <w:t>5</w:t>
      </w:r>
      <w:r w:rsidRPr="00974189">
        <w:t>. Protección de datos personales y privacidad</w:t>
      </w:r>
      <w:bookmarkEnd w:id="12"/>
    </w:p>
    <w:p w14:paraId="2D3BEF50" w14:textId="71DE544F" w:rsidR="00974189" w:rsidRPr="00C92A13" w:rsidRDefault="00974189" w:rsidP="00610FA3">
      <w:pPr>
        <w:jc w:val="both"/>
        <w:rPr>
          <w:rFonts w:ascii="Arial" w:hAnsi="Arial" w:cs="Arial"/>
        </w:rPr>
      </w:pPr>
      <w:r w:rsidRPr="00C92A13">
        <w:rPr>
          <w:rFonts w:ascii="Arial" w:hAnsi="Arial" w:cs="Arial"/>
          <w:b/>
          <w:bCs/>
        </w:rPr>
        <w:t>Descripción:</w:t>
      </w:r>
      <w:r w:rsidRPr="00C92A13">
        <w:rPr>
          <w:rFonts w:ascii="Arial" w:hAnsi="Arial" w:cs="Arial"/>
        </w:rPr>
        <w:t xml:space="preserve"> Consolidar la gestión de la privacidad y el tratamiento responsable de los datos personales bajo principios de legalidad, transparencia y seguridad, en cumplimiento de la Ley 1581 de 2012.</w:t>
      </w:r>
    </w:p>
    <w:p w14:paraId="6F589153" w14:textId="77777777" w:rsidR="00974189" w:rsidRPr="00C92A13" w:rsidRDefault="00974189" w:rsidP="00610FA3">
      <w:pPr>
        <w:jc w:val="both"/>
        <w:rPr>
          <w:rFonts w:ascii="Arial" w:hAnsi="Arial" w:cs="Arial"/>
        </w:rPr>
      </w:pPr>
      <w:r w:rsidRPr="00C92A13">
        <w:rPr>
          <w:rFonts w:ascii="Arial" w:hAnsi="Arial" w:cs="Arial"/>
          <w:b/>
          <w:bCs/>
        </w:rPr>
        <w:lastRenderedPageBreak/>
        <w:t>Líneas de acción:</w:t>
      </w:r>
    </w:p>
    <w:p w14:paraId="3402D242" w14:textId="77777777" w:rsidR="00974189" w:rsidRPr="00C92A13" w:rsidRDefault="00974189" w:rsidP="00611A19">
      <w:pPr>
        <w:pStyle w:val="Prrafodelista"/>
        <w:numPr>
          <w:ilvl w:val="0"/>
          <w:numId w:val="10"/>
        </w:numPr>
        <w:jc w:val="both"/>
        <w:rPr>
          <w:rFonts w:ascii="Arial" w:hAnsi="Arial" w:cs="Arial"/>
        </w:rPr>
      </w:pPr>
      <w:r w:rsidRPr="00C92A13">
        <w:rPr>
          <w:rFonts w:ascii="Arial" w:hAnsi="Arial" w:cs="Arial"/>
        </w:rPr>
        <w:t>Aplicar los principios de minimización y proporcionalidad en la recolección de datos.</w:t>
      </w:r>
    </w:p>
    <w:p w14:paraId="6B490258" w14:textId="77777777" w:rsidR="00974189" w:rsidRPr="00C92A13" w:rsidRDefault="00974189" w:rsidP="00611A19">
      <w:pPr>
        <w:pStyle w:val="Prrafodelista"/>
        <w:numPr>
          <w:ilvl w:val="0"/>
          <w:numId w:val="10"/>
        </w:numPr>
        <w:jc w:val="both"/>
        <w:rPr>
          <w:rFonts w:ascii="Arial" w:hAnsi="Arial" w:cs="Arial"/>
        </w:rPr>
      </w:pPr>
      <w:r w:rsidRPr="00C92A13">
        <w:rPr>
          <w:rFonts w:ascii="Arial" w:hAnsi="Arial" w:cs="Arial"/>
        </w:rPr>
        <w:t>Implementar controles de privacidad por diseño y por defecto en los sistemas institucionales.</w:t>
      </w:r>
    </w:p>
    <w:p w14:paraId="6AEBD809" w14:textId="77777777" w:rsidR="00974189" w:rsidRPr="00C92A13" w:rsidRDefault="00974189" w:rsidP="00611A19">
      <w:pPr>
        <w:pStyle w:val="Prrafodelista"/>
        <w:numPr>
          <w:ilvl w:val="0"/>
          <w:numId w:val="10"/>
        </w:numPr>
        <w:jc w:val="both"/>
        <w:rPr>
          <w:rFonts w:ascii="Arial" w:hAnsi="Arial" w:cs="Arial"/>
        </w:rPr>
      </w:pPr>
      <w:r w:rsidRPr="00C92A13">
        <w:rPr>
          <w:rFonts w:ascii="Arial" w:hAnsi="Arial" w:cs="Arial"/>
        </w:rPr>
        <w:t>Gestionar los incidentes de violación de datos personales de acuerdo con protocolos establecidos.</w:t>
      </w:r>
    </w:p>
    <w:p w14:paraId="073A3760" w14:textId="1D373ACD" w:rsidR="00974189" w:rsidRPr="00C92A13" w:rsidRDefault="00974189" w:rsidP="00610FA3">
      <w:pPr>
        <w:pStyle w:val="Ttulo2"/>
      </w:pPr>
      <w:bookmarkStart w:id="13" w:name="_Toc211851423"/>
      <w:r w:rsidRPr="00C92A13">
        <w:t>Estrategia 6. Evaluación y madurez del SGSI</w:t>
      </w:r>
      <w:bookmarkEnd w:id="13"/>
    </w:p>
    <w:p w14:paraId="5F6B1B78" w14:textId="68DF3B3F" w:rsidR="00974189" w:rsidRPr="00C92A13" w:rsidRDefault="00974189" w:rsidP="00610FA3">
      <w:pPr>
        <w:jc w:val="both"/>
        <w:rPr>
          <w:rFonts w:ascii="Arial" w:hAnsi="Arial" w:cs="Arial"/>
        </w:rPr>
      </w:pPr>
      <w:r w:rsidRPr="00C92A13">
        <w:rPr>
          <w:rFonts w:ascii="Arial" w:hAnsi="Arial" w:cs="Arial"/>
          <w:b/>
          <w:bCs/>
        </w:rPr>
        <w:t>Descripción:</w:t>
      </w:r>
      <w:r w:rsidRPr="00C92A13">
        <w:rPr>
          <w:rFonts w:ascii="Arial" w:hAnsi="Arial" w:cs="Arial"/>
        </w:rPr>
        <w:t xml:space="preserve"> Monitorear y evaluar el desempeño del Sistema de Gestión de Seguridad y Privacidad de la Información, mediante indicadores y auditorías que permitan evidenciar su evolución hacia niveles superiores de madurez.</w:t>
      </w:r>
    </w:p>
    <w:p w14:paraId="2B09A0E7" w14:textId="77777777" w:rsidR="00974189" w:rsidRPr="00C92A13" w:rsidRDefault="00974189" w:rsidP="00610FA3">
      <w:pPr>
        <w:jc w:val="both"/>
        <w:rPr>
          <w:rFonts w:ascii="Arial" w:hAnsi="Arial" w:cs="Arial"/>
        </w:rPr>
      </w:pPr>
      <w:r w:rsidRPr="00C92A13">
        <w:rPr>
          <w:rFonts w:ascii="Arial" w:hAnsi="Arial" w:cs="Arial"/>
          <w:b/>
          <w:bCs/>
        </w:rPr>
        <w:t>Líneas de acción:</w:t>
      </w:r>
    </w:p>
    <w:p w14:paraId="2B6E9210" w14:textId="77777777" w:rsidR="00974189" w:rsidRPr="00C92A13" w:rsidRDefault="00974189" w:rsidP="00611A19">
      <w:pPr>
        <w:pStyle w:val="Prrafodelista"/>
        <w:numPr>
          <w:ilvl w:val="0"/>
          <w:numId w:val="11"/>
        </w:numPr>
        <w:jc w:val="both"/>
        <w:rPr>
          <w:rFonts w:ascii="Arial" w:hAnsi="Arial" w:cs="Arial"/>
        </w:rPr>
      </w:pPr>
      <w:r w:rsidRPr="00C92A13">
        <w:rPr>
          <w:rFonts w:ascii="Arial" w:hAnsi="Arial" w:cs="Arial"/>
        </w:rPr>
        <w:t>Definir y aplicar indicadores de gestión de seguridad digital.</w:t>
      </w:r>
    </w:p>
    <w:p w14:paraId="4BE648FA" w14:textId="77777777" w:rsidR="00974189" w:rsidRPr="00C92A13" w:rsidRDefault="00974189" w:rsidP="00611A19">
      <w:pPr>
        <w:pStyle w:val="Prrafodelista"/>
        <w:numPr>
          <w:ilvl w:val="0"/>
          <w:numId w:val="11"/>
        </w:numPr>
        <w:jc w:val="both"/>
        <w:rPr>
          <w:rFonts w:ascii="Arial" w:hAnsi="Arial" w:cs="Arial"/>
        </w:rPr>
      </w:pPr>
      <w:r w:rsidRPr="00C92A13">
        <w:rPr>
          <w:rFonts w:ascii="Arial" w:hAnsi="Arial" w:cs="Arial"/>
        </w:rPr>
        <w:t>Realizar auditorías internas y revisiones periódicas del SGSI.</w:t>
      </w:r>
    </w:p>
    <w:p w14:paraId="5C8A7E81" w14:textId="77777777" w:rsidR="00974189" w:rsidRPr="00C92A13" w:rsidRDefault="00974189" w:rsidP="00611A19">
      <w:pPr>
        <w:pStyle w:val="Prrafodelista"/>
        <w:numPr>
          <w:ilvl w:val="0"/>
          <w:numId w:val="11"/>
        </w:numPr>
        <w:jc w:val="both"/>
        <w:rPr>
          <w:rFonts w:ascii="Arial" w:hAnsi="Arial" w:cs="Arial"/>
        </w:rPr>
      </w:pPr>
      <w:r w:rsidRPr="00C92A13">
        <w:rPr>
          <w:rFonts w:ascii="Arial" w:hAnsi="Arial" w:cs="Arial"/>
        </w:rPr>
        <w:t>Actualizar el plan de mejoramiento institucional según resultados.</w:t>
      </w:r>
    </w:p>
    <w:p w14:paraId="4823F2FB" w14:textId="77777777" w:rsidR="00974189" w:rsidRPr="00C92A13" w:rsidRDefault="00974189" w:rsidP="00611A19">
      <w:pPr>
        <w:pStyle w:val="Prrafodelista"/>
        <w:numPr>
          <w:ilvl w:val="0"/>
          <w:numId w:val="11"/>
        </w:numPr>
        <w:jc w:val="both"/>
        <w:rPr>
          <w:rFonts w:ascii="Arial" w:hAnsi="Arial" w:cs="Arial"/>
        </w:rPr>
      </w:pPr>
      <w:r w:rsidRPr="00C92A13">
        <w:rPr>
          <w:rFonts w:ascii="Arial" w:hAnsi="Arial" w:cs="Arial"/>
        </w:rPr>
        <w:t>Publicar informes anuales de avances en seguridad y privacidad.</w:t>
      </w:r>
    </w:p>
    <w:p w14:paraId="1AAFCE92" w14:textId="5789F6C7" w:rsidR="00D30D66" w:rsidRPr="00C92A13" w:rsidRDefault="00D30D66" w:rsidP="00610FA3">
      <w:pPr>
        <w:pStyle w:val="Ttulo1"/>
      </w:pPr>
      <w:bookmarkStart w:id="14" w:name="_Toc211851424"/>
      <w:r w:rsidRPr="00C92A13">
        <w:t>Productos Relacionados Con La Aplicación De Las Estrategias De Seguridad Y Privacidad De La Información</w:t>
      </w:r>
      <w:bookmarkEnd w:id="14"/>
    </w:p>
    <w:p w14:paraId="73F1ACD5" w14:textId="425ABE50" w:rsidR="00D30D66" w:rsidRPr="00C92A13" w:rsidRDefault="00D30D66" w:rsidP="00610FA3">
      <w:pPr>
        <w:jc w:val="both"/>
        <w:rPr>
          <w:rFonts w:ascii="Arial" w:hAnsi="Arial" w:cs="Arial"/>
        </w:rPr>
      </w:pPr>
      <w:r w:rsidRPr="00C92A13">
        <w:rPr>
          <w:rFonts w:ascii="Arial" w:hAnsi="Arial" w:cs="Arial"/>
        </w:rPr>
        <w:t>Las estrategias establecidas en este plan para la seguridad y privacidad de la información de la Alcaldía de Armenia en relación con el desarrollo de los procesos administrativos de esta, tiene como resultado un conjunto de documentos que son el producto de la aplicación de las estrategias definidas.</w:t>
      </w:r>
    </w:p>
    <w:p w14:paraId="76358D95" w14:textId="074C03B0" w:rsidR="00D30D66" w:rsidRDefault="00D30D66" w:rsidP="00610FA3">
      <w:pPr>
        <w:jc w:val="both"/>
      </w:pPr>
      <w:r>
        <w:t>Los productos contemplados en relación con el PESI son:</w:t>
      </w:r>
    </w:p>
    <w:tbl>
      <w:tblPr>
        <w:tblStyle w:val="Tablaconcuadrcula"/>
        <w:tblW w:w="0" w:type="auto"/>
        <w:tblLook w:val="04A0" w:firstRow="1" w:lastRow="0" w:firstColumn="1" w:lastColumn="0" w:noHBand="0" w:noVBand="1"/>
      </w:tblPr>
      <w:tblGrid>
        <w:gridCol w:w="1696"/>
        <w:gridCol w:w="1985"/>
        <w:gridCol w:w="2126"/>
        <w:gridCol w:w="3021"/>
      </w:tblGrid>
      <w:tr w:rsidR="00D0187B" w14:paraId="409328DB" w14:textId="77777777" w:rsidTr="00E54F23">
        <w:tc>
          <w:tcPr>
            <w:tcW w:w="1696" w:type="dxa"/>
            <w:vAlign w:val="center"/>
          </w:tcPr>
          <w:p w14:paraId="24CB6ED8" w14:textId="55BCA511" w:rsidR="00D0187B" w:rsidRDefault="00D0187B" w:rsidP="00E54F23">
            <w:pPr>
              <w:jc w:val="center"/>
            </w:pPr>
            <w:r w:rsidRPr="00D0187B">
              <w:rPr>
                <w:b/>
                <w:bCs/>
              </w:rPr>
              <w:t>Estrategia</w:t>
            </w:r>
          </w:p>
        </w:tc>
        <w:tc>
          <w:tcPr>
            <w:tcW w:w="1985" w:type="dxa"/>
            <w:vAlign w:val="center"/>
          </w:tcPr>
          <w:p w14:paraId="2B681BBA" w14:textId="41156D6B" w:rsidR="00D0187B" w:rsidRDefault="00D0187B" w:rsidP="00E54F23">
            <w:pPr>
              <w:jc w:val="center"/>
            </w:pPr>
            <w:r w:rsidRPr="00D0187B">
              <w:rPr>
                <w:b/>
                <w:bCs/>
              </w:rPr>
              <w:t>Descripción resumida</w:t>
            </w:r>
          </w:p>
        </w:tc>
        <w:tc>
          <w:tcPr>
            <w:tcW w:w="2126" w:type="dxa"/>
            <w:vAlign w:val="center"/>
          </w:tcPr>
          <w:p w14:paraId="53FC7E71" w14:textId="6E137F74" w:rsidR="00D0187B" w:rsidRDefault="00D0187B" w:rsidP="00E54F23">
            <w:pPr>
              <w:jc w:val="center"/>
            </w:pPr>
            <w:r w:rsidRPr="00D0187B">
              <w:rPr>
                <w:b/>
                <w:bCs/>
              </w:rPr>
              <w:t>Documentos relacionados</w:t>
            </w:r>
          </w:p>
        </w:tc>
        <w:tc>
          <w:tcPr>
            <w:tcW w:w="3021" w:type="dxa"/>
            <w:vAlign w:val="center"/>
          </w:tcPr>
          <w:p w14:paraId="188BA705" w14:textId="640D3757" w:rsidR="00D0187B" w:rsidRDefault="00D0187B" w:rsidP="00E54F23">
            <w:pPr>
              <w:jc w:val="center"/>
            </w:pPr>
            <w:r w:rsidRPr="00D0187B">
              <w:rPr>
                <w:b/>
                <w:bCs/>
              </w:rPr>
              <w:t>Relación técnica con la estrategia</w:t>
            </w:r>
          </w:p>
        </w:tc>
      </w:tr>
      <w:tr w:rsidR="00D0187B" w14:paraId="321DCE1E" w14:textId="77777777" w:rsidTr="00E54F23">
        <w:tc>
          <w:tcPr>
            <w:tcW w:w="1696" w:type="dxa"/>
            <w:vAlign w:val="center"/>
          </w:tcPr>
          <w:p w14:paraId="689342AE" w14:textId="7B4BA570" w:rsidR="00D0187B" w:rsidRPr="00E54F23" w:rsidRDefault="00D0187B" w:rsidP="00E54F23">
            <w:pPr>
              <w:rPr>
                <w:sz w:val="18"/>
                <w:szCs w:val="18"/>
              </w:rPr>
            </w:pPr>
            <w:r w:rsidRPr="00D0187B">
              <w:rPr>
                <w:b/>
                <w:bCs/>
                <w:sz w:val="18"/>
                <w:szCs w:val="18"/>
              </w:rPr>
              <w:t>1. Gobernanza y gestión institucional de la seguridad de la información</w:t>
            </w:r>
          </w:p>
        </w:tc>
        <w:tc>
          <w:tcPr>
            <w:tcW w:w="1985" w:type="dxa"/>
            <w:vAlign w:val="center"/>
          </w:tcPr>
          <w:p w14:paraId="74720757" w14:textId="2016A30A" w:rsidR="00D0187B" w:rsidRPr="00E54F23" w:rsidRDefault="00D0187B" w:rsidP="00E54F23">
            <w:pPr>
              <w:rPr>
                <w:sz w:val="18"/>
                <w:szCs w:val="18"/>
              </w:rPr>
            </w:pPr>
            <w:r w:rsidRPr="00D0187B">
              <w:rPr>
                <w:sz w:val="18"/>
                <w:szCs w:val="18"/>
              </w:rPr>
              <w:t xml:space="preserve">Fortalecer la estructura organizacional, la gobernanza y la coordinación del SGSI, </w:t>
            </w:r>
            <w:r w:rsidRPr="00D0187B">
              <w:rPr>
                <w:sz w:val="18"/>
                <w:szCs w:val="18"/>
              </w:rPr>
              <w:lastRenderedPageBreak/>
              <w:t>asegurando la participación de todas las dependencias y la existencia de políticas, roles y responsabilidades definidas.</w:t>
            </w:r>
          </w:p>
        </w:tc>
        <w:tc>
          <w:tcPr>
            <w:tcW w:w="2126" w:type="dxa"/>
            <w:vAlign w:val="center"/>
          </w:tcPr>
          <w:p w14:paraId="559097A7" w14:textId="7D8297A1" w:rsidR="00D0187B" w:rsidRPr="00E54F23" w:rsidRDefault="00D0187B" w:rsidP="00E54F23">
            <w:pPr>
              <w:rPr>
                <w:sz w:val="18"/>
                <w:szCs w:val="18"/>
              </w:rPr>
            </w:pPr>
            <w:r w:rsidRPr="00D0187B">
              <w:rPr>
                <w:sz w:val="18"/>
                <w:szCs w:val="18"/>
              </w:rPr>
              <w:lastRenderedPageBreak/>
              <w:t>- Diagnóstico MSPI</w:t>
            </w:r>
            <w:r w:rsidR="006D6EE3">
              <w:rPr>
                <w:sz w:val="18"/>
                <w:szCs w:val="18"/>
              </w:rPr>
              <w:br/>
            </w:r>
            <w:r w:rsidRPr="00D0187B">
              <w:rPr>
                <w:sz w:val="18"/>
                <w:szCs w:val="18"/>
              </w:rPr>
              <w:t>- Plan de Seguridad y Privacidad de la Información</w:t>
            </w:r>
            <w:r w:rsidR="006D6EE3">
              <w:rPr>
                <w:sz w:val="18"/>
                <w:szCs w:val="18"/>
              </w:rPr>
              <w:br/>
            </w:r>
            <w:r w:rsidRPr="00D0187B">
              <w:rPr>
                <w:sz w:val="18"/>
                <w:szCs w:val="18"/>
              </w:rPr>
              <w:t xml:space="preserve">- Políticas de Seguridad </w:t>
            </w:r>
            <w:r w:rsidRPr="00D0187B">
              <w:rPr>
                <w:sz w:val="18"/>
                <w:szCs w:val="18"/>
              </w:rPr>
              <w:lastRenderedPageBreak/>
              <w:t>y Privacidad de la Información</w:t>
            </w:r>
            <w:r w:rsidR="006D6EE3">
              <w:rPr>
                <w:sz w:val="18"/>
                <w:szCs w:val="18"/>
              </w:rPr>
              <w:br/>
            </w:r>
            <w:r w:rsidRPr="00D0187B">
              <w:rPr>
                <w:sz w:val="18"/>
                <w:szCs w:val="18"/>
              </w:rPr>
              <w:t>- Roles y Responsabilidades de Seguridad y Privacidad de la Información</w:t>
            </w:r>
            <w:r w:rsidR="006D6EE3">
              <w:rPr>
                <w:sz w:val="18"/>
                <w:szCs w:val="18"/>
              </w:rPr>
              <w:br/>
            </w:r>
            <w:r w:rsidRPr="00D0187B">
              <w:rPr>
                <w:sz w:val="18"/>
                <w:szCs w:val="18"/>
              </w:rPr>
              <w:t>- Plan de Control Operacional</w:t>
            </w:r>
            <w:r w:rsidR="006D6EE3">
              <w:rPr>
                <w:sz w:val="18"/>
                <w:szCs w:val="18"/>
              </w:rPr>
              <w:br/>
              <w:t>- Matriz de Inventario de activos de la información</w:t>
            </w:r>
          </w:p>
        </w:tc>
        <w:tc>
          <w:tcPr>
            <w:tcW w:w="3021" w:type="dxa"/>
            <w:vAlign w:val="center"/>
          </w:tcPr>
          <w:p w14:paraId="2716D609" w14:textId="12276BFB" w:rsidR="00D0187B" w:rsidRPr="00E54F23" w:rsidRDefault="00D0187B" w:rsidP="00E54F23">
            <w:pPr>
              <w:rPr>
                <w:sz w:val="18"/>
                <w:szCs w:val="18"/>
              </w:rPr>
            </w:pPr>
            <w:r w:rsidRPr="00D0187B">
              <w:rPr>
                <w:sz w:val="18"/>
                <w:szCs w:val="18"/>
              </w:rPr>
              <w:lastRenderedPageBreak/>
              <w:t xml:space="preserve">Estos documentos conforman la </w:t>
            </w:r>
            <w:r w:rsidRPr="00D0187B">
              <w:rPr>
                <w:b/>
                <w:bCs/>
                <w:sz w:val="18"/>
                <w:szCs w:val="18"/>
              </w:rPr>
              <w:t>base estructural de gobernanza</w:t>
            </w:r>
            <w:r w:rsidRPr="00D0187B">
              <w:rPr>
                <w:sz w:val="18"/>
                <w:szCs w:val="18"/>
              </w:rPr>
              <w:t xml:space="preserve"> del SGSI. El diagnóstico MSPI identifica el punto de partida institucional; las políticas y roles </w:t>
            </w:r>
            <w:r w:rsidRPr="00D0187B">
              <w:rPr>
                <w:sz w:val="18"/>
                <w:szCs w:val="18"/>
              </w:rPr>
              <w:lastRenderedPageBreak/>
              <w:t>definen las reglas y responsabilidades; y el plan de control operacional materializa las decisiones del Comité de Seguridad en procedimientos y controles aplicables. Todo esto refleja la aplicación de la Estrategia 1, orientada a consolidar una gestión coordinada y transversal de la seguridad.</w:t>
            </w:r>
          </w:p>
        </w:tc>
      </w:tr>
      <w:tr w:rsidR="00D0187B" w14:paraId="2AA0AE9F" w14:textId="77777777" w:rsidTr="00E54F23">
        <w:tc>
          <w:tcPr>
            <w:tcW w:w="1696" w:type="dxa"/>
            <w:vAlign w:val="center"/>
          </w:tcPr>
          <w:p w14:paraId="3C792D3D" w14:textId="0D6642FF" w:rsidR="00D0187B" w:rsidRPr="00E54F23" w:rsidRDefault="00D0187B" w:rsidP="00E54F23">
            <w:pPr>
              <w:rPr>
                <w:sz w:val="18"/>
                <w:szCs w:val="18"/>
              </w:rPr>
            </w:pPr>
            <w:r w:rsidRPr="00D0187B">
              <w:rPr>
                <w:b/>
                <w:bCs/>
                <w:sz w:val="18"/>
                <w:szCs w:val="18"/>
              </w:rPr>
              <w:lastRenderedPageBreak/>
              <w:t>2. Gestión integral del riesgo de seguridad y privacidad</w:t>
            </w:r>
          </w:p>
        </w:tc>
        <w:tc>
          <w:tcPr>
            <w:tcW w:w="1985" w:type="dxa"/>
            <w:vAlign w:val="center"/>
          </w:tcPr>
          <w:p w14:paraId="0FC95CEC" w14:textId="2724D6B4" w:rsidR="00D0187B" w:rsidRPr="00E54F23" w:rsidRDefault="00D0187B" w:rsidP="00E54F23">
            <w:pPr>
              <w:rPr>
                <w:sz w:val="18"/>
                <w:szCs w:val="18"/>
              </w:rPr>
            </w:pPr>
            <w:r w:rsidRPr="00D0187B">
              <w:rPr>
                <w:sz w:val="18"/>
                <w:szCs w:val="18"/>
              </w:rPr>
              <w:t>Implementar un proceso continuo de identificación, análisis, valoración y tratamiento de riesgos de seguridad y privacidad de la información.</w:t>
            </w:r>
          </w:p>
        </w:tc>
        <w:tc>
          <w:tcPr>
            <w:tcW w:w="2126" w:type="dxa"/>
            <w:vAlign w:val="center"/>
          </w:tcPr>
          <w:p w14:paraId="3AFE8275" w14:textId="432E01F9" w:rsidR="00D0187B" w:rsidRPr="00E54F23" w:rsidRDefault="00D0187B" w:rsidP="00E54F23">
            <w:pPr>
              <w:rPr>
                <w:sz w:val="18"/>
                <w:szCs w:val="18"/>
              </w:rPr>
            </w:pPr>
            <w:r w:rsidRPr="00D0187B">
              <w:rPr>
                <w:sz w:val="18"/>
                <w:szCs w:val="18"/>
              </w:rPr>
              <w:t>- Matriz de Riesgos de Seguridad y Privacidad de la Información y Seguridad Digital</w:t>
            </w:r>
            <w:r w:rsidR="006D6EE3">
              <w:rPr>
                <w:sz w:val="18"/>
                <w:szCs w:val="18"/>
              </w:rPr>
              <w:br/>
            </w:r>
            <w:r w:rsidRPr="00D0187B">
              <w:rPr>
                <w:sz w:val="18"/>
                <w:szCs w:val="18"/>
              </w:rPr>
              <w:t>- Plan de Tratamiento de Riesgos de Seguridad y Privacidad</w:t>
            </w:r>
            <w:r w:rsidR="006D6EE3">
              <w:rPr>
                <w:sz w:val="18"/>
                <w:szCs w:val="18"/>
              </w:rPr>
              <w:br/>
            </w:r>
            <w:r w:rsidRPr="00D0187B">
              <w:rPr>
                <w:sz w:val="18"/>
                <w:szCs w:val="18"/>
              </w:rPr>
              <w:t>- Implementación del Plan de Tratamiento de Riesgos</w:t>
            </w:r>
            <w:r w:rsidR="006D6EE3">
              <w:rPr>
                <w:sz w:val="18"/>
                <w:szCs w:val="18"/>
              </w:rPr>
              <w:br/>
            </w:r>
            <w:r w:rsidRPr="00D0187B">
              <w:rPr>
                <w:sz w:val="18"/>
                <w:szCs w:val="18"/>
              </w:rPr>
              <w:t>- Matriz de Inventario de Activos de Información</w:t>
            </w:r>
          </w:p>
        </w:tc>
        <w:tc>
          <w:tcPr>
            <w:tcW w:w="3021" w:type="dxa"/>
            <w:vAlign w:val="center"/>
          </w:tcPr>
          <w:p w14:paraId="50DF893C" w14:textId="759C0636" w:rsidR="00D0187B" w:rsidRPr="00E54F23" w:rsidRDefault="00D0187B" w:rsidP="00E54F23">
            <w:pPr>
              <w:rPr>
                <w:sz w:val="18"/>
                <w:szCs w:val="18"/>
              </w:rPr>
            </w:pPr>
            <w:r w:rsidRPr="00D0187B">
              <w:rPr>
                <w:sz w:val="18"/>
                <w:szCs w:val="18"/>
              </w:rPr>
              <w:t xml:space="preserve">La Estrategia 2 se evidencia directamente en estos instrumentos, que conforman el </w:t>
            </w:r>
            <w:r w:rsidRPr="00D0187B">
              <w:rPr>
                <w:b/>
                <w:bCs/>
                <w:sz w:val="18"/>
                <w:szCs w:val="18"/>
              </w:rPr>
              <w:t>núcleo operativo de la gestión del riesgo</w:t>
            </w:r>
            <w:r w:rsidRPr="00D0187B">
              <w:rPr>
                <w:sz w:val="18"/>
                <w:szCs w:val="18"/>
              </w:rPr>
              <w:t>. La matriz de riesgos permite su identificación y valoración; el plan e implementación del tratamiento establecen las medidas de mitigación; y la matriz de activos define el alcance y criticidad de los elementos a proteger.</w:t>
            </w:r>
          </w:p>
        </w:tc>
      </w:tr>
      <w:tr w:rsidR="00D0187B" w14:paraId="6F03CF57" w14:textId="77777777" w:rsidTr="00E54F23">
        <w:tc>
          <w:tcPr>
            <w:tcW w:w="1696" w:type="dxa"/>
            <w:vAlign w:val="center"/>
          </w:tcPr>
          <w:p w14:paraId="7157CBD9" w14:textId="7DA743DE" w:rsidR="00D0187B" w:rsidRPr="00E54F23" w:rsidRDefault="00D0187B" w:rsidP="00E54F23">
            <w:pPr>
              <w:rPr>
                <w:sz w:val="18"/>
                <w:szCs w:val="18"/>
              </w:rPr>
            </w:pPr>
            <w:r w:rsidRPr="00D0187B">
              <w:rPr>
                <w:b/>
                <w:bCs/>
                <w:sz w:val="18"/>
                <w:szCs w:val="18"/>
              </w:rPr>
              <w:t>3. Protección tecnológica y control de acceso</w:t>
            </w:r>
          </w:p>
        </w:tc>
        <w:tc>
          <w:tcPr>
            <w:tcW w:w="1985" w:type="dxa"/>
            <w:vAlign w:val="center"/>
          </w:tcPr>
          <w:p w14:paraId="5034259D" w14:textId="14E39E67" w:rsidR="00D0187B" w:rsidRPr="00E54F23" w:rsidRDefault="00D0187B" w:rsidP="00E54F23">
            <w:pPr>
              <w:rPr>
                <w:sz w:val="18"/>
                <w:szCs w:val="18"/>
              </w:rPr>
            </w:pPr>
            <w:r w:rsidRPr="00D0187B">
              <w:rPr>
                <w:sz w:val="18"/>
                <w:szCs w:val="18"/>
              </w:rPr>
              <w:t>Fortalecer los mecanismos tecnológicos, de infraestructura y control de acceso que garanticen la integridad y disponibilidad de la información.</w:t>
            </w:r>
          </w:p>
        </w:tc>
        <w:tc>
          <w:tcPr>
            <w:tcW w:w="2126" w:type="dxa"/>
            <w:vAlign w:val="center"/>
          </w:tcPr>
          <w:p w14:paraId="7B93D385" w14:textId="774A967A" w:rsidR="00D0187B" w:rsidRPr="00E54F23" w:rsidRDefault="00D0187B" w:rsidP="00E54F23">
            <w:pPr>
              <w:rPr>
                <w:sz w:val="18"/>
                <w:szCs w:val="18"/>
              </w:rPr>
            </w:pPr>
            <w:r w:rsidRPr="00D0187B">
              <w:rPr>
                <w:sz w:val="18"/>
                <w:szCs w:val="18"/>
              </w:rPr>
              <w:t>- Plan de Diagnóstico de IPv4 a IPv6</w:t>
            </w:r>
            <w:r w:rsidR="006D6EE3">
              <w:rPr>
                <w:sz w:val="18"/>
                <w:szCs w:val="18"/>
              </w:rPr>
              <w:br/>
            </w:r>
            <w:r w:rsidRPr="00D0187B">
              <w:rPr>
                <w:sz w:val="18"/>
                <w:szCs w:val="18"/>
              </w:rPr>
              <w:t>- Plan de Transición de IPv4 a IPv6</w:t>
            </w:r>
            <w:r w:rsidR="006D6EE3">
              <w:rPr>
                <w:sz w:val="18"/>
                <w:szCs w:val="18"/>
              </w:rPr>
              <w:br/>
            </w:r>
            <w:r w:rsidRPr="00D0187B">
              <w:rPr>
                <w:sz w:val="18"/>
                <w:szCs w:val="18"/>
              </w:rPr>
              <w:t>- Plan de Control Operacional</w:t>
            </w:r>
          </w:p>
        </w:tc>
        <w:tc>
          <w:tcPr>
            <w:tcW w:w="3021" w:type="dxa"/>
            <w:vAlign w:val="center"/>
          </w:tcPr>
          <w:p w14:paraId="71268D33" w14:textId="759CCD30" w:rsidR="00D0187B" w:rsidRPr="00E54F23" w:rsidRDefault="00D0187B" w:rsidP="00E54F23">
            <w:pPr>
              <w:rPr>
                <w:sz w:val="18"/>
                <w:szCs w:val="18"/>
              </w:rPr>
            </w:pPr>
            <w:r w:rsidRPr="00D0187B">
              <w:rPr>
                <w:sz w:val="18"/>
                <w:szCs w:val="18"/>
              </w:rPr>
              <w:t xml:space="preserve">Esta estrategia se relaciona con los planes técnicos que mejoran la </w:t>
            </w:r>
            <w:r w:rsidRPr="00D0187B">
              <w:rPr>
                <w:b/>
                <w:bCs/>
                <w:sz w:val="18"/>
                <w:szCs w:val="18"/>
              </w:rPr>
              <w:t>resiliencia tecnológica y la seguridad de red</w:t>
            </w:r>
            <w:r w:rsidRPr="00D0187B">
              <w:rPr>
                <w:sz w:val="18"/>
                <w:szCs w:val="18"/>
              </w:rPr>
              <w:t>. El diagnóstico y la transición a IPv6 fortalecen la capacidad de gestión de direcciones IP seguras y escalables; mientras que el plan de control operacional regula los accesos, configuraciones y controles técnicos asociados.</w:t>
            </w:r>
          </w:p>
        </w:tc>
      </w:tr>
      <w:tr w:rsidR="00D0187B" w14:paraId="6A426FD4" w14:textId="77777777" w:rsidTr="00E54F23">
        <w:tc>
          <w:tcPr>
            <w:tcW w:w="1696" w:type="dxa"/>
            <w:vAlign w:val="center"/>
          </w:tcPr>
          <w:p w14:paraId="00363984" w14:textId="1B78A7A5" w:rsidR="00D0187B" w:rsidRPr="00E54F23" w:rsidRDefault="00D0187B" w:rsidP="00E54F23">
            <w:pPr>
              <w:rPr>
                <w:sz w:val="18"/>
                <w:szCs w:val="18"/>
              </w:rPr>
            </w:pPr>
            <w:r w:rsidRPr="00D0187B">
              <w:rPr>
                <w:b/>
                <w:bCs/>
                <w:sz w:val="18"/>
                <w:szCs w:val="18"/>
              </w:rPr>
              <w:t>4. Cultura institucional y capacitación continua</w:t>
            </w:r>
          </w:p>
        </w:tc>
        <w:tc>
          <w:tcPr>
            <w:tcW w:w="1985" w:type="dxa"/>
            <w:vAlign w:val="center"/>
          </w:tcPr>
          <w:p w14:paraId="3B4928A3" w14:textId="7EC42C7F" w:rsidR="00D0187B" w:rsidRPr="00E54F23" w:rsidRDefault="00D0187B" w:rsidP="00E54F23">
            <w:pPr>
              <w:rPr>
                <w:sz w:val="18"/>
                <w:szCs w:val="18"/>
              </w:rPr>
            </w:pPr>
            <w:r w:rsidRPr="00D0187B">
              <w:rPr>
                <w:sz w:val="18"/>
                <w:szCs w:val="18"/>
              </w:rPr>
              <w:t>Promover la formación y sensibilización de los funcionarios sobre seguridad y privacidad, fortaleciendo la cultura organizacional.</w:t>
            </w:r>
          </w:p>
        </w:tc>
        <w:tc>
          <w:tcPr>
            <w:tcW w:w="2126" w:type="dxa"/>
            <w:vAlign w:val="center"/>
          </w:tcPr>
          <w:p w14:paraId="00A8CB17" w14:textId="7A634812" w:rsidR="00D0187B" w:rsidRPr="00E54F23" w:rsidRDefault="00D0187B" w:rsidP="00E54F23">
            <w:pPr>
              <w:rPr>
                <w:sz w:val="18"/>
                <w:szCs w:val="18"/>
              </w:rPr>
            </w:pPr>
            <w:r w:rsidRPr="00D0187B">
              <w:rPr>
                <w:sz w:val="18"/>
                <w:szCs w:val="18"/>
              </w:rPr>
              <w:t>- Plan de Sensibilización y Comunicación de Seguridad y Privacidad de la Información</w:t>
            </w:r>
            <w:r w:rsidR="006D6EE3">
              <w:rPr>
                <w:sz w:val="18"/>
                <w:szCs w:val="18"/>
              </w:rPr>
              <w:br/>
              <w:t>- Plan de capacitaciones</w:t>
            </w:r>
            <w:r w:rsidR="006D6EE3">
              <w:rPr>
                <w:sz w:val="18"/>
                <w:szCs w:val="18"/>
              </w:rPr>
              <w:br/>
            </w:r>
            <w:r w:rsidRPr="00D0187B">
              <w:rPr>
                <w:sz w:val="18"/>
                <w:szCs w:val="18"/>
              </w:rPr>
              <w:t>- Documento con el Plan de Comunicación de Resultados</w:t>
            </w:r>
          </w:p>
        </w:tc>
        <w:tc>
          <w:tcPr>
            <w:tcW w:w="3021" w:type="dxa"/>
            <w:vAlign w:val="center"/>
          </w:tcPr>
          <w:p w14:paraId="6683D2FF" w14:textId="645E92BB" w:rsidR="00D0187B" w:rsidRPr="00E54F23" w:rsidRDefault="00D0187B" w:rsidP="00E54F23">
            <w:pPr>
              <w:rPr>
                <w:sz w:val="18"/>
                <w:szCs w:val="18"/>
              </w:rPr>
            </w:pPr>
            <w:r w:rsidRPr="00D0187B">
              <w:rPr>
                <w:sz w:val="18"/>
                <w:szCs w:val="18"/>
              </w:rPr>
              <w:t xml:space="preserve">Ambos documentos son evidencia directa de la </w:t>
            </w:r>
            <w:r w:rsidRPr="00D0187B">
              <w:rPr>
                <w:b/>
                <w:bCs/>
                <w:sz w:val="18"/>
                <w:szCs w:val="18"/>
              </w:rPr>
              <w:t>Estrategia 4</w:t>
            </w:r>
            <w:r w:rsidRPr="00D0187B">
              <w:rPr>
                <w:sz w:val="18"/>
                <w:szCs w:val="18"/>
              </w:rPr>
              <w:t xml:space="preserve">, pues establecen los mecanismos de sensibilización, capacitación y retroalimentación institucional. A través de estos se mide el grado de apropiación de la cultura de seguridad, alineada con la Política General de Seguridad de la </w:t>
            </w:r>
            <w:r w:rsidRPr="00D0187B">
              <w:rPr>
                <w:sz w:val="18"/>
                <w:szCs w:val="18"/>
              </w:rPr>
              <w:lastRenderedPageBreak/>
              <w:t>Información y la Política de Privacidad.</w:t>
            </w:r>
          </w:p>
        </w:tc>
      </w:tr>
      <w:tr w:rsidR="00D0187B" w14:paraId="3A2D55CC" w14:textId="77777777" w:rsidTr="00E54F23">
        <w:tc>
          <w:tcPr>
            <w:tcW w:w="1696" w:type="dxa"/>
            <w:vAlign w:val="center"/>
          </w:tcPr>
          <w:p w14:paraId="4144C063" w14:textId="78413352" w:rsidR="00D0187B" w:rsidRPr="00E54F23" w:rsidRDefault="00D0187B" w:rsidP="00E54F23">
            <w:pPr>
              <w:rPr>
                <w:b/>
                <w:bCs/>
                <w:sz w:val="18"/>
                <w:szCs w:val="18"/>
              </w:rPr>
            </w:pPr>
            <w:r w:rsidRPr="00D0187B">
              <w:rPr>
                <w:b/>
                <w:bCs/>
                <w:sz w:val="18"/>
                <w:szCs w:val="18"/>
              </w:rPr>
              <w:lastRenderedPageBreak/>
              <w:t>5. Protección de datos personales y privacidad</w:t>
            </w:r>
          </w:p>
        </w:tc>
        <w:tc>
          <w:tcPr>
            <w:tcW w:w="1985" w:type="dxa"/>
            <w:vAlign w:val="center"/>
          </w:tcPr>
          <w:p w14:paraId="059579D9" w14:textId="785AC42D" w:rsidR="00D0187B" w:rsidRPr="00E54F23" w:rsidRDefault="00D0187B" w:rsidP="00E54F23">
            <w:pPr>
              <w:rPr>
                <w:sz w:val="18"/>
                <w:szCs w:val="18"/>
              </w:rPr>
            </w:pPr>
            <w:r w:rsidRPr="00D0187B">
              <w:rPr>
                <w:sz w:val="18"/>
                <w:szCs w:val="18"/>
              </w:rPr>
              <w:t>Asegurar el tratamiento adecuado, legal y transparente de los datos personales, garantizando la privacidad y los derechos de los titulares.</w:t>
            </w:r>
          </w:p>
        </w:tc>
        <w:tc>
          <w:tcPr>
            <w:tcW w:w="2126" w:type="dxa"/>
            <w:vAlign w:val="center"/>
          </w:tcPr>
          <w:p w14:paraId="5270322D" w14:textId="4DD0DD97" w:rsidR="00D0187B" w:rsidRPr="00E54F23" w:rsidRDefault="00D0187B" w:rsidP="00E54F23">
            <w:pPr>
              <w:rPr>
                <w:sz w:val="18"/>
                <w:szCs w:val="18"/>
              </w:rPr>
            </w:pPr>
            <w:r w:rsidRPr="00D0187B">
              <w:rPr>
                <w:sz w:val="18"/>
                <w:szCs w:val="18"/>
              </w:rPr>
              <w:t>- Políticas de Seguridad y Privacidad de la Información</w:t>
            </w:r>
            <w:r w:rsidR="006D6EE3">
              <w:rPr>
                <w:sz w:val="18"/>
                <w:szCs w:val="18"/>
              </w:rPr>
              <w:br/>
            </w:r>
            <w:r w:rsidRPr="00D0187B">
              <w:rPr>
                <w:sz w:val="18"/>
                <w:szCs w:val="18"/>
              </w:rPr>
              <w:t>- Plan de Seguridad y Privacidad de la Información</w:t>
            </w:r>
          </w:p>
        </w:tc>
        <w:tc>
          <w:tcPr>
            <w:tcW w:w="3021" w:type="dxa"/>
            <w:vAlign w:val="center"/>
          </w:tcPr>
          <w:p w14:paraId="3541D8F7" w14:textId="1BE76F14" w:rsidR="00D0187B" w:rsidRPr="00E54F23" w:rsidRDefault="00D0187B" w:rsidP="00E54F23">
            <w:pPr>
              <w:rPr>
                <w:sz w:val="18"/>
                <w:szCs w:val="18"/>
              </w:rPr>
            </w:pPr>
            <w:r w:rsidRPr="00D0187B">
              <w:rPr>
                <w:sz w:val="18"/>
                <w:szCs w:val="18"/>
              </w:rPr>
              <w:t xml:space="preserve">La </w:t>
            </w:r>
            <w:r w:rsidRPr="00D0187B">
              <w:rPr>
                <w:b/>
                <w:bCs/>
                <w:sz w:val="18"/>
                <w:szCs w:val="18"/>
              </w:rPr>
              <w:t>protección de datos personales</w:t>
            </w:r>
            <w:r w:rsidRPr="00D0187B">
              <w:rPr>
                <w:sz w:val="18"/>
                <w:szCs w:val="18"/>
              </w:rPr>
              <w:t xml:space="preserve"> es un eje transversal del MSPI. Las políticas establecen los principios, derechos y controles normativos (Ley 1581 de 2012 y Decreto 1377 de 2013), mientras que el Plan de Seguridad y Privacidad operacionaliza las acciones para asegurar el cumplimiento. Esta estrategia se evidencia en los procedimientos y controles de privacidad por diseño y por defecto.</w:t>
            </w:r>
          </w:p>
        </w:tc>
      </w:tr>
      <w:tr w:rsidR="00D0187B" w14:paraId="53F6B9DE" w14:textId="77777777" w:rsidTr="00E54F23">
        <w:tc>
          <w:tcPr>
            <w:tcW w:w="1696" w:type="dxa"/>
            <w:vAlign w:val="center"/>
          </w:tcPr>
          <w:p w14:paraId="11CF754D" w14:textId="3B45574F" w:rsidR="00D0187B" w:rsidRPr="00E54F23" w:rsidRDefault="00D0187B" w:rsidP="00E54F23">
            <w:pPr>
              <w:rPr>
                <w:b/>
                <w:bCs/>
                <w:sz w:val="18"/>
                <w:szCs w:val="18"/>
              </w:rPr>
            </w:pPr>
            <w:r w:rsidRPr="00D0187B">
              <w:rPr>
                <w:b/>
                <w:bCs/>
                <w:sz w:val="18"/>
                <w:szCs w:val="18"/>
              </w:rPr>
              <w:t>6. Evaluación y madurez del SGSI</w:t>
            </w:r>
          </w:p>
        </w:tc>
        <w:tc>
          <w:tcPr>
            <w:tcW w:w="1985" w:type="dxa"/>
            <w:vAlign w:val="center"/>
          </w:tcPr>
          <w:p w14:paraId="5ED3C4E5" w14:textId="6E334D7C" w:rsidR="00D0187B" w:rsidRPr="00E54F23" w:rsidRDefault="00D0187B" w:rsidP="00E54F23">
            <w:pPr>
              <w:rPr>
                <w:sz w:val="18"/>
                <w:szCs w:val="18"/>
              </w:rPr>
            </w:pPr>
            <w:r w:rsidRPr="00D0187B">
              <w:rPr>
                <w:sz w:val="18"/>
                <w:szCs w:val="18"/>
              </w:rPr>
              <w:t>Monitorear y evaluar el desempeño del Sistema de Gestión de Seguridad y Privacidad de la Información para garantizar su mejora continua.</w:t>
            </w:r>
          </w:p>
        </w:tc>
        <w:tc>
          <w:tcPr>
            <w:tcW w:w="2126" w:type="dxa"/>
            <w:vAlign w:val="center"/>
          </w:tcPr>
          <w:p w14:paraId="7D355F54" w14:textId="35C59E0A" w:rsidR="00D0187B" w:rsidRPr="00E54F23" w:rsidRDefault="00D0187B" w:rsidP="00E54F23">
            <w:pPr>
              <w:rPr>
                <w:sz w:val="18"/>
                <w:szCs w:val="18"/>
              </w:rPr>
            </w:pPr>
            <w:r w:rsidRPr="00D0187B">
              <w:rPr>
                <w:sz w:val="18"/>
                <w:szCs w:val="18"/>
              </w:rPr>
              <w:t>- Plan de Ejecución de Auditorías</w:t>
            </w:r>
            <w:r w:rsidR="006D6EE3">
              <w:rPr>
                <w:sz w:val="18"/>
                <w:szCs w:val="18"/>
              </w:rPr>
              <w:br/>
            </w:r>
            <w:r w:rsidRPr="00D0187B">
              <w:rPr>
                <w:sz w:val="18"/>
                <w:szCs w:val="18"/>
              </w:rPr>
              <w:t>- Documento con el Plan de Mejoramiento</w:t>
            </w:r>
            <w:r w:rsidR="006D6EE3">
              <w:rPr>
                <w:sz w:val="18"/>
                <w:szCs w:val="18"/>
              </w:rPr>
              <w:br/>
            </w:r>
            <w:r w:rsidRPr="00D0187B">
              <w:rPr>
                <w:sz w:val="18"/>
                <w:szCs w:val="18"/>
              </w:rPr>
              <w:t>- Plan de Seguimiento MSPI</w:t>
            </w:r>
            <w:r w:rsidR="006D6EE3">
              <w:rPr>
                <w:sz w:val="18"/>
                <w:szCs w:val="18"/>
              </w:rPr>
              <w:br/>
            </w:r>
            <w:r w:rsidRPr="00D0187B">
              <w:rPr>
                <w:sz w:val="18"/>
                <w:szCs w:val="18"/>
              </w:rPr>
              <w:t>- Indicadores de Gestión</w:t>
            </w:r>
            <w:r w:rsidR="006D6EE3">
              <w:rPr>
                <w:sz w:val="18"/>
                <w:szCs w:val="18"/>
              </w:rPr>
              <w:br/>
            </w:r>
            <w:r w:rsidRPr="00D0187B">
              <w:rPr>
                <w:sz w:val="18"/>
                <w:szCs w:val="18"/>
              </w:rPr>
              <w:t>- Documento con el Plan de Comunicación de Resultados</w:t>
            </w:r>
          </w:p>
        </w:tc>
        <w:tc>
          <w:tcPr>
            <w:tcW w:w="3021" w:type="dxa"/>
            <w:vAlign w:val="center"/>
          </w:tcPr>
          <w:p w14:paraId="03970711" w14:textId="7BFC7F61" w:rsidR="00D0187B" w:rsidRPr="00E54F23" w:rsidRDefault="00D0187B" w:rsidP="00E54F23">
            <w:pPr>
              <w:rPr>
                <w:sz w:val="18"/>
                <w:szCs w:val="18"/>
              </w:rPr>
            </w:pPr>
            <w:r w:rsidRPr="00D0187B">
              <w:rPr>
                <w:sz w:val="18"/>
                <w:szCs w:val="18"/>
              </w:rPr>
              <w:t xml:space="preserve">Esta estrategia consolida el </w:t>
            </w:r>
            <w:r w:rsidRPr="00D0187B">
              <w:rPr>
                <w:b/>
                <w:bCs/>
                <w:sz w:val="18"/>
                <w:szCs w:val="18"/>
              </w:rPr>
              <w:t>ciclo de mejora continua del SGSI (PHVA)</w:t>
            </w:r>
            <w:r w:rsidRPr="00D0187B">
              <w:rPr>
                <w:sz w:val="18"/>
                <w:szCs w:val="18"/>
              </w:rPr>
              <w:t>. Los indicadores de gestión y el plan de seguimiento permiten evaluar el desempeño del plan; las auditorías internas verifican la eficacia de los controles; el plan de mejoramiento recoge las acciones correctivas y preventivas; y los resultados se comunican institucionalmente a través del plan de comunicación, garantizando transparencia y trazabilidad.</w:t>
            </w:r>
          </w:p>
        </w:tc>
      </w:tr>
    </w:tbl>
    <w:p w14:paraId="54B9F9C0" w14:textId="14006258" w:rsidR="00A46B46" w:rsidRPr="00C92A13" w:rsidRDefault="00A46B46" w:rsidP="00610FA3">
      <w:pPr>
        <w:pStyle w:val="Ttulo1"/>
      </w:pPr>
      <w:bookmarkStart w:id="15" w:name="_Toc211851425"/>
      <w:r w:rsidRPr="00C92A13">
        <w:t xml:space="preserve">Evaluación </w:t>
      </w:r>
      <w:r w:rsidR="005D292C" w:rsidRPr="00C92A13">
        <w:t>D</w:t>
      </w:r>
      <w:r w:rsidRPr="00C92A13">
        <w:t xml:space="preserve">e Desempeño </w:t>
      </w:r>
      <w:r w:rsidR="005D292C" w:rsidRPr="00C92A13">
        <w:t>D</w:t>
      </w:r>
      <w:r w:rsidRPr="00C92A13">
        <w:t xml:space="preserve">el </w:t>
      </w:r>
      <w:r w:rsidR="00D30D66" w:rsidRPr="00C92A13">
        <w:t>PESI</w:t>
      </w:r>
      <w:bookmarkEnd w:id="15"/>
    </w:p>
    <w:p w14:paraId="5FB5C21A" w14:textId="794CC4B7" w:rsidR="00A46B46" w:rsidRPr="00C92A13" w:rsidRDefault="00A46B46" w:rsidP="00610FA3">
      <w:pPr>
        <w:jc w:val="both"/>
        <w:rPr>
          <w:rFonts w:ascii="Arial" w:hAnsi="Arial" w:cs="Arial"/>
        </w:rPr>
      </w:pPr>
      <w:r w:rsidRPr="00C92A13">
        <w:rPr>
          <w:rFonts w:ascii="Arial" w:hAnsi="Arial" w:cs="Arial"/>
        </w:rPr>
        <w:t>La evaluación del desempeño del Plan Estratégico de Seguridad y Privacidad de la Información se realizará de manera periódica con el fin de medir la efectividad de las estrategias implementadas, el cumplimiento de los objetivos definidos y el nivel de madurez alcanzado en la gestión de seguridad digital de la Alcaldía de Armenia.</w:t>
      </w:r>
    </w:p>
    <w:p w14:paraId="5DC94865" w14:textId="4483717B" w:rsidR="00974189" w:rsidRPr="00C92A13" w:rsidRDefault="00A46B46" w:rsidP="00610FA3">
      <w:pPr>
        <w:jc w:val="both"/>
        <w:rPr>
          <w:rFonts w:ascii="Arial" w:hAnsi="Arial" w:cs="Arial"/>
        </w:rPr>
      </w:pPr>
      <w:r w:rsidRPr="00C92A13">
        <w:rPr>
          <w:rFonts w:ascii="Arial" w:hAnsi="Arial" w:cs="Arial"/>
        </w:rPr>
        <w:t xml:space="preserve">El proceso de evaluación se enmarca en los principios de medición, control y mejora </w:t>
      </w:r>
      <w:proofErr w:type="gramStart"/>
      <w:r w:rsidR="00041AFC" w:rsidRPr="00C92A13">
        <w:rPr>
          <w:rFonts w:ascii="Arial" w:hAnsi="Arial" w:cs="Arial"/>
        </w:rPr>
        <w:t>continua</w:t>
      </w:r>
      <w:proofErr w:type="gramEnd"/>
      <w:r w:rsidRPr="00C92A13">
        <w:rPr>
          <w:rFonts w:ascii="Arial" w:hAnsi="Arial" w:cs="Arial"/>
        </w:rPr>
        <w:t xml:space="preserve"> establecidos en la Política General de Seguridad de la Información y será liderado por el Comité de Seguridad de la Información, en coordinación con la Secretaría TIC y las dependencias responsables de la ejecución de las acciones del plan.</w:t>
      </w:r>
    </w:p>
    <w:p w14:paraId="5D12BEB8" w14:textId="39F49150" w:rsidR="00A46B46" w:rsidRPr="00C92A13" w:rsidRDefault="00A46B46" w:rsidP="00610FA3">
      <w:pPr>
        <w:pStyle w:val="Ttulo2"/>
      </w:pPr>
      <w:bookmarkStart w:id="16" w:name="_Toc211851426"/>
      <w:r w:rsidRPr="00C92A13">
        <w:lastRenderedPageBreak/>
        <w:t>Metodología</w:t>
      </w:r>
      <w:bookmarkEnd w:id="16"/>
    </w:p>
    <w:p w14:paraId="00D3121E" w14:textId="77777777" w:rsidR="00A46B46" w:rsidRPr="00C92A13" w:rsidRDefault="00A46B46" w:rsidP="00610FA3">
      <w:pPr>
        <w:jc w:val="both"/>
        <w:rPr>
          <w:rFonts w:ascii="Arial" w:hAnsi="Arial" w:cs="Arial"/>
        </w:rPr>
      </w:pPr>
      <w:r w:rsidRPr="00C92A13">
        <w:rPr>
          <w:rFonts w:ascii="Arial" w:hAnsi="Arial" w:cs="Arial"/>
        </w:rPr>
        <w:t>La evaluación se desarrollará bajo los siguientes lineamientos:</w:t>
      </w:r>
    </w:p>
    <w:p w14:paraId="3C6AC7B0" w14:textId="76A5BE6C" w:rsidR="00A46B46" w:rsidRPr="00C92A13" w:rsidRDefault="00A46B46" w:rsidP="00611A19">
      <w:pPr>
        <w:pStyle w:val="Prrafodelista"/>
        <w:numPr>
          <w:ilvl w:val="0"/>
          <w:numId w:val="12"/>
        </w:numPr>
        <w:jc w:val="both"/>
        <w:rPr>
          <w:rFonts w:ascii="Arial" w:hAnsi="Arial" w:cs="Arial"/>
        </w:rPr>
      </w:pPr>
      <w:r w:rsidRPr="00C92A13">
        <w:rPr>
          <w:rFonts w:ascii="Arial" w:hAnsi="Arial" w:cs="Arial"/>
          <w:b/>
          <w:bCs/>
        </w:rPr>
        <w:t>Periodicidad:</w:t>
      </w:r>
      <w:r w:rsidRPr="00C92A13">
        <w:rPr>
          <w:rFonts w:ascii="Arial" w:hAnsi="Arial" w:cs="Arial"/>
        </w:rPr>
        <w:t xml:space="preserve"> mínimo una vez por semestre y al cierre de cada vigencia fiscal.</w:t>
      </w:r>
      <w:r w:rsidRPr="00C92A13">
        <w:rPr>
          <w:rFonts w:ascii="Arial" w:hAnsi="Arial" w:cs="Arial"/>
        </w:rPr>
        <w:br/>
      </w:r>
    </w:p>
    <w:p w14:paraId="677B8D05" w14:textId="4F8720AE" w:rsidR="00A46B46" w:rsidRPr="00C92A13" w:rsidRDefault="00A46B46" w:rsidP="00611A19">
      <w:pPr>
        <w:pStyle w:val="Prrafodelista"/>
        <w:numPr>
          <w:ilvl w:val="0"/>
          <w:numId w:val="12"/>
        </w:numPr>
        <w:jc w:val="both"/>
        <w:rPr>
          <w:rFonts w:ascii="Arial" w:hAnsi="Arial" w:cs="Arial"/>
        </w:rPr>
      </w:pPr>
      <w:r w:rsidRPr="00C92A13">
        <w:rPr>
          <w:rFonts w:ascii="Arial" w:hAnsi="Arial" w:cs="Arial"/>
          <w:b/>
          <w:bCs/>
        </w:rPr>
        <w:t>Instrumentos:</w:t>
      </w:r>
      <w:r w:rsidRPr="00C92A13">
        <w:rPr>
          <w:rFonts w:ascii="Arial" w:hAnsi="Arial" w:cs="Arial"/>
        </w:rPr>
        <w:t xml:space="preserve"> indicadores de desempeño definidos para cada estrategia, evidencias de cumplimiento, reportes de incidentes, auditorías internas, informes de sensibilización y resultados de los controles técnicos y administrativos implementados.</w:t>
      </w:r>
      <w:r w:rsidRPr="00C92A13">
        <w:rPr>
          <w:rFonts w:ascii="Arial" w:hAnsi="Arial" w:cs="Arial"/>
        </w:rPr>
        <w:br/>
      </w:r>
    </w:p>
    <w:p w14:paraId="6E0ED509" w14:textId="77777777" w:rsidR="00A46B46" w:rsidRPr="00C92A13" w:rsidRDefault="00A46B46" w:rsidP="00611A19">
      <w:pPr>
        <w:pStyle w:val="Prrafodelista"/>
        <w:numPr>
          <w:ilvl w:val="0"/>
          <w:numId w:val="12"/>
        </w:numPr>
        <w:jc w:val="both"/>
        <w:rPr>
          <w:rFonts w:ascii="Arial" w:hAnsi="Arial" w:cs="Arial"/>
          <w:b/>
          <w:bCs/>
        </w:rPr>
      </w:pPr>
      <w:r w:rsidRPr="00C92A13">
        <w:rPr>
          <w:rFonts w:ascii="Arial" w:hAnsi="Arial" w:cs="Arial"/>
          <w:b/>
          <w:bCs/>
        </w:rPr>
        <w:t>Criterios de evaluación:</w:t>
      </w:r>
    </w:p>
    <w:p w14:paraId="4A0FA69E" w14:textId="77777777" w:rsidR="00A46B46" w:rsidRPr="00C92A13" w:rsidRDefault="00A46B46" w:rsidP="00611A19">
      <w:pPr>
        <w:pStyle w:val="Prrafodelista"/>
        <w:numPr>
          <w:ilvl w:val="1"/>
          <w:numId w:val="12"/>
        </w:numPr>
        <w:jc w:val="both"/>
        <w:rPr>
          <w:rFonts w:ascii="Arial" w:hAnsi="Arial" w:cs="Arial"/>
        </w:rPr>
      </w:pPr>
      <w:r w:rsidRPr="00C92A13">
        <w:rPr>
          <w:rFonts w:ascii="Arial" w:hAnsi="Arial" w:cs="Arial"/>
        </w:rPr>
        <w:t>Cumplimiento de los objetivos y metas del plan.</w:t>
      </w:r>
    </w:p>
    <w:p w14:paraId="5577C80D" w14:textId="77777777" w:rsidR="00A46B46" w:rsidRPr="00C92A13" w:rsidRDefault="00A46B46" w:rsidP="00611A19">
      <w:pPr>
        <w:pStyle w:val="Prrafodelista"/>
        <w:numPr>
          <w:ilvl w:val="1"/>
          <w:numId w:val="12"/>
        </w:numPr>
        <w:jc w:val="both"/>
        <w:rPr>
          <w:rFonts w:ascii="Arial" w:hAnsi="Arial" w:cs="Arial"/>
        </w:rPr>
      </w:pPr>
      <w:r w:rsidRPr="00C92A13">
        <w:rPr>
          <w:rFonts w:ascii="Arial" w:hAnsi="Arial" w:cs="Arial"/>
        </w:rPr>
        <w:t>Nivel de ejecución de las estrategias y acciones.</w:t>
      </w:r>
    </w:p>
    <w:p w14:paraId="6F426D97" w14:textId="77777777" w:rsidR="00A46B46" w:rsidRPr="00C92A13" w:rsidRDefault="00A46B46" w:rsidP="00611A19">
      <w:pPr>
        <w:pStyle w:val="Prrafodelista"/>
        <w:numPr>
          <w:ilvl w:val="1"/>
          <w:numId w:val="12"/>
        </w:numPr>
        <w:jc w:val="both"/>
        <w:rPr>
          <w:rFonts w:ascii="Arial" w:hAnsi="Arial" w:cs="Arial"/>
        </w:rPr>
      </w:pPr>
      <w:r w:rsidRPr="00C92A13">
        <w:rPr>
          <w:rFonts w:ascii="Arial" w:hAnsi="Arial" w:cs="Arial"/>
        </w:rPr>
        <w:t>Eficacia de los controles establecidos frente a los riesgos identificados.</w:t>
      </w:r>
    </w:p>
    <w:p w14:paraId="62733603" w14:textId="77777777" w:rsidR="00A46B46" w:rsidRPr="00C92A13" w:rsidRDefault="00A46B46" w:rsidP="00611A19">
      <w:pPr>
        <w:pStyle w:val="Prrafodelista"/>
        <w:numPr>
          <w:ilvl w:val="1"/>
          <w:numId w:val="12"/>
        </w:numPr>
        <w:jc w:val="both"/>
        <w:rPr>
          <w:rFonts w:ascii="Arial" w:hAnsi="Arial" w:cs="Arial"/>
        </w:rPr>
      </w:pPr>
      <w:r w:rsidRPr="00C92A13">
        <w:rPr>
          <w:rFonts w:ascii="Arial" w:hAnsi="Arial" w:cs="Arial"/>
        </w:rPr>
        <w:t>Grado de participación y apropiación institucional del SGSI.</w:t>
      </w:r>
    </w:p>
    <w:p w14:paraId="55D65DD7" w14:textId="588DD514" w:rsidR="00A46B46" w:rsidRDefault="00A46B46" w:rsidP="00611A19">
      <w:pPr>
        <w:pStyle w:val="Prrafodelista"/>
        <w:numPr>
          <w:ilvl w:val="1"/>
          <w:numId w:val="12"/>
        </w:numPr>
        <w:jc w:val="both"/>
      </w:pPr>
      <w:r w:rsidRPr="00C92A13">
        <w:rPr>
          <w:rFonts w:ascii="Arial" w:hAnsi="Arial" w:cs="Arial"/>
        </w:rPr>
        <w:t>Nivel de cumplimiento normativo y técnico frente a los lineamientos del MinTIC, la Política de Gobierno Digital y la norma ISO/IEC 27001:2022</w:t>
      </w:r>
      <w:r>
        <w:t>.</w:t>
      </w:r>
    </w:p>
    <w:p w14:paraId="6D7522CC" w14:textId="4BE14D4F" w:rsidR="00A46B46" w:rsidRPr="00C92A13" w:rsidRDefault="00A46B46" w:rsidP="00610FA3">
      <w:pPr>
        <w:pStyle w:val="Ttulo2"/>
      </w:pPr>
      <w:bookmarkStart w:id="17" w:name="_Toc211851427"/>
      <w:r w:rsidRPr="00C92A13">
        <w:t>Procedimiento</w:t>
      </w:r>
      <w:bookmarkEnd w:id="17"/>
    </w:p>
    <w:p w14:paraId="537209D3" w14:textId="6BDB6E74" w:rsidR="00A46B46" w:rsidRPr="00C92A13" w:rsidRDefault="00A46B46" w:rsidP="00611A19">
      <w:pPr>
        <w:pStyle w:val="Prrafodelista"/>
        <w:numPr>
          <w:ilvl w:val="0"/>
          <w:numId w:val="13"/>
        </w:numPr>
        <w:jc w:val="both"/>
        <w:rPr>
          <w:rFonts w:ascii="Arial" w:hAnsi="Arial" w:cs="Arial"/>
        </w:rPr>
      </w:pPr>
      <w:r w:rsidRPr="00C92A13">
        <w:rPr>
          <w:rFonts w:ascii="Arial" w:hAnsi="Arial" w:cs="Arial"/>
        </w:rPr>
        <w:t>Recolección de información: cada dependencia involucrada entregará reportes semestrales sobre la ejecución de actividades y el cumplimiento de indicadores asociados al plan.</w:t>
      </w:r>
    </w:p>
    <w:p w14:paraId="58EFBD44" w14:textId="77777777" w:rsidR="00A46B46" w:rsidRPr="00C92A13" w:rsidRDefault="00A46B46" w:rsidP="00611A19">
      <w:pPr>
        <w:pStyle w:val="Prrafodelista"/>
        <w:numPr>
          <w:ilvl w:val="0"/>
          <w:numId w:val="13"/>
        </w:numPr>
        <w:jc w:val="both"/>
        <w:rPr>
          <w:rFonts w:ascii="Arial" w:hAnsi="Arial" w:cs="Arial"/>
        </w:rPr>
      </w:pPr>
      <w:r w:rsidRPr="00C92A13">
        <w:rPr>
          <w:rFonts w:ascii="Arial" w:hAnsi="Arial" w:cs="Arial"/>
        </w:rPr>
        <w:t>Análisis y consolidación: la Secretaría TIC consolidará la información y la presentará al Comité de Seguridad de la Información.</w:t>
      </w:r>
    </w:p>
    <w:p w14:paraId="7A624004" w14:textId="35251D22" w:rsidR="00A46B46" w:rsidRPr="00C92A13" w:rsidRDefault="00A46B46" w:rsidP="00611A19">
      <w:pPr>
        <w:pStyle w:val="Prrafodelista"/>
        <w:numPr>
          <w:ilvl w:val="0"/>
          <w:numId w:val="13"/>
        </w:numPr>
        <w:jc w:val="both"/>
        <w:rPr>
          <w:rFonts w:ascii="Arial" w:hAnsi="Arial" w:cs="Arial"/>
        </w:rPr>
      </w:pPr>
      <w:r w:rsidRPr="00C92A13">
        <w:rPr>
          <w:rFonts w:ascii="Arial" w:hAnsi="Arial" w:cs="Arial"/>
        </w:rPr>
        <w:t>Revisión y evaluación: el Comité evaluará los resultados frente a las metas establecidas, determinará desviaciones o incumplimientos y priorizará las acciones correctivas necesarias.</w:t>
      </w:r>
    </w:p>
    <w:p w14:paraId="1851F127" w14:textId="32087768" w:rsidR="00A46B46" w:rsidRPr="00C92A13" w:rsidRDefault="005D292C" w:rsidP="00610FA3">
      <w:pPr>
        <w:pStyle w:val="Ttulo1"/>
      </w:pPr>
      <w:bookmarkStart w:id="18" w:name="_Toc211851428"/>
      <w:r w:rsidRPr="00C92A13">
        <w:t xml:space="preserve">Mejora Continua Del </w:t>
      </w:r>
      <w:r w:rsidR="00D30D66" w:rsidRPr="00C92A13">
        <w:t>PESI</w:t>
      </w:r>
      <w:bookmarkEnd w:id="18"/>
    </w:p>
    <w:p w14:paraId="5342B191" w14:textId="44A0EBE4" w:rsidR="005D292C" w:rsidRPr="00C92A13" w:rsidRDefault="005D292C" w:rsidP="00610FA3">
      <w:pPr>
        <w:jc w:val="both"/>
        <w:rPr>
          <w:rFonts w:ascii="Arial" w:hAnsi="Arial" w:cs="Arial"/>
        </w:rPr>
      </w:pPr>
      <w:r w:rsidRPr="00C92A13">
        <w:rPr>
          <w:rFonts w:ascii="Arial" w:hAnsi="Arial" w:cs="Arial"/>
        </w:rPr>
        <w:t xml:space="preserve">El proceso de mejora continua del Plan Estratégico de Seguridad y Privacidad de la Información tiene como propósito fortalecer de manera progresiva la gestión </w:t>
      </w:r>
      <w:r w:rsidRPr="00C92A13">
        <w:rPr>
          <w:rFonts w:ascii="Arial" w:hAnsi="Arial" w:cs="Arial"/>
        </w:rPr>
        <w:lastRenderedPageBreak/>
        <w:t>institucional en materia de seguridad y privacidad, optimizando las estrategias, controles y procesos definidos en el marco del SGSI.</w:t>
      </w:r>
    </w:p>
    <w:p w14:paraId="53C80BDA" w14:textId="40A2E7BC" w:rsidR="005D292C" w:rsidRPr="00C92A13" w:rsidRDefault="005D292C" w:rsidP="00610FA3">
      <w:pPr>
        <w:jc w:val="both"/>
        <w:rPr>
          <w:rFonts w:ascii="Arial" w:hAnsi="Arial" w:cs="Arial"/>
        </w:rPr>
      </w:pPr>
      <w:r w:rsidRPr="00C92A13">
        <w:rPr>
          <w:rFonts w:ascii="Arial" w:hAnsi="Arial" w:cs="Arial"/>
        </w:rPr>
        <w:t>La mejora continua se implementará como un ciclo permanente de revisión, ajuste y actualización, garantizando la vigencia y efectividad del plan frente a los cambios tecnológicos, normativos y organizacionales.</w:t>
      </w:r>
    </w:p>
    <w:p w14:paraId="7B14C401" w14:textId="438B9D75" w:rsidR="005D292C" w:rsidRPr="00C92A13" w:rsidRDefault="005D292C" w:rsidP="00610FA3">
      <w:pPr>
        <w:pStyle w:val="Ttulo2"/>
      </w:pPr>
      <w:bookmarkStart w:id="19" w:name="_Toc211851429"/>
      <w:r w:rsidRPr="00C92A13">
        <w:t>Lineamientos de Mejora Continua</w:t>
      </w:r>
      <w:bookmarkEnd w:id="19"/>
    </w:p>
    <w:p w14:paraId="5C010003" w14:textId="5828F666" w:rsidR="005D292C" w:rsidRPr="00C92A13" w:rsidRDefault="005D292C" w:rsidP="00611A19">
      <w:pPr>
        <w:pStyle w:val="Prrafodelista"/>
        <w:numPr>
          <w:ilvl w:val="0"/>
          <w:numId w:val="14"/>
        </w:numPr>
        <w:rPr>
          <w:rFonts w:ascii="Arial" w:hAnsi="Arial" w:cs="Arial"/>
        </w:rPr>
      </w:pPr>
      <w:r w:rsidRPr="00C92A13">
        <w:rPr>
          <w:rFonts w:ascii="Arial" w:hAnsi="Arial" w:cs="Arial"/>
          <w:b/>
          <w:bCs/>
        </w:rPr>
        <w:t>Revisión por la dirección:</w:t>
      </w:r>
      <w:r w:rsidRPr="00C92A13">
        <w:rPr>
          <w:rFonts w:ascii="Arial" w:hAnsi="Arial" w:cs="Arial"/>
        </w:rPr>
        <w:t xml:space="preserve"> el Comité de Seguridad de la Información presentará anualmente a la Alta Dirección los resultados de la evaluación del plan, junto con las recomendaciones de actualización, priorización de proyectos y necesidades de recursos.</w:t>
      </w:r>
      <w:r w:rsidRPr="00C92A13">
        <w:rPr>
          <w:rFonts w:ascii="Arial" w:hAnsi="Arial" w:cs="Arial"/>
        </w:rPr>
        <w:br/>
      </w:r>
    </w:p>
    <w:p w14:paraId="2D6A5027" w14:textId="36818E4F" w:rsidR="005D292C" w:rsidRPr="005D292C" w:rsidRDefault="005D292C" w:rsidP="00611A19">
      <w:pPr>
        <w:pStyle w:val="Prrafodelista"/>
        <w:numPr>
          <w:ilvl w:val="0"/>
          <w:numId w:val="14"/>
        </w:numPr>
      </w:pPr>
      <w:r w:rsidRPr="00C92A13">
        <w:rPr>
          <w:rFonts w:ascii="Arial" w:hAnsi="Arial" w:cs="Arial"/>
          <w:b/>
          <w:bCs/>
        </w:rPr>
        <w:t>Acciones correctivas y preventivas:</w:t>
      </w:r>
      <w:r w:rsidRPr="00C92A13">
        <w:rPr>
          <w:rFonts w:ascii="Arial" w:hAnsi="Arial" w:cs="Arial"/>
        </w:rPr>
        <w:t xml:space="preserve"> ante la detección de desviaciones, incidentes o debilidades, se formularán </w:t>
      </w:r>
      <w:r w:rsidRPr="00C92A13">
        <w:rPr>
          <w:rFonts w:ascii="Arial" w:hAnsi="Arial" w:cs="Arial"/>
          <w:b/>
          <w:bCs/>
        </w:rPr>
        <w:t>planes de acción</w:t>
      </w:r>
      <w:r w:rsidRPr="00C92A13">
        <w:rPr>
          <w:rFonts w:ascii="Arial" w:hAnsi="Arial" w:cs="Arial"/>
        </w:rPr>
        <w:t xml:space="preserve"> con responsables, plazos y mecanismos de seguimiento definidos.</w:t>
      </w:r>
      <w:r>
        <w:br/>
      </w:r>
    </w:p>
    <w:p w14:paraId="6291B292" w14:textId="233D2BB7" w:rsidR="005D292C" w:rsidRPr="00C92A13" w:rsidRDefault="005D292C" w:rsidP="00611A19">
      <w:pPr>
        <w:pStyle w:val="Prrafodelista"/>
        <w:numPr>
          <w:ilvl w:val="0"/>
          <w:numId w:val="14"/>
        </w:numPr>
        <w:jc w:val="both"/>
        <w:rPr>
          <w:rFonts w:ascii="Arial" w:hAnsi="Arial" w:cs="Arial"/>
        </w:rPr>
      </w:pPr>
      <w:r w:rsidRPr="005D292C">
        <w:rPr>
          <w:b/>
          <w:bCs/>
        </w:rPr>
        <w:t>Retroalimentación institucional:</w:t>
      </w:r>
      <w:r w:rsidRPr="005D292C">
        <w:t xml:space="preserve"> los resultados de la evaluación del desempeño serán comunicados a todas las dependencias involucradas, </w:t>
      </w:r>
      <w:r w:rsidRPr="00C92A13">
        <w:rPr>
          <w:rFonts w:ascii="Arial" w:hAnsi="Arial" w:cs="Arial"/>
        </w:rPr>
        <w:t>promoviendo el aprendizaje organizacional y la mejora de los procesos.</w:t>
      </w:r>
      <w:r w:rsidRPr="00C92A13">
        <w:rPr>
          <w:rFonts w:ascii="Arial" w:hAnsi="Arial" w:cs="Arial"/>
        </w:rPr>
        <w:br/>
      </w:r>
    </w:p>
    <w:p w14:paraId="0A7C730B" w14:textId="7CC2DC1A" w:rsidR="005D292C" w:rsidRPr="00C92A13" w:rsidRDefault="005D292C" w:rsidP="00611A19">
      <w:pPr>
        <w:pStyle w:val="Prrafodelista"/>
        <w:numPr>
          <w:ilvl w:val="0"/>
          <w:numId w:val="14"/>
        </w:numPr>
        <w:jc w:val="both"/>
        <w:rPr>
          <w:rFonts w:ascii="Arial" w:hAnsi="Arial" w:cs="Arial"/>
        </w:rPr>
      </w:pPr>
      <w:r w:rsidRPr="00C92A13">
        <w:rPr>
          <w:rFonts w:ascii="Arial" w:hAnsi="Arial" w:cs="Arial"/>
          <w:b/>
          <w:bCs/>
        </w:rPr>
        <w:t>Actualización del plan:</w:t>
      </w:r>
      <w:r w:rsidRPr="00C92A13">
        <w:rPr>
          <w:rFonts w:ascii="Arial" w:hAnsi="Arial" w:cs="Arial"/>
        </w:rPr>
        <w:t xml:space="preserve"> el Plan Estratégico de Seguridad y Privacidad de la Información será revisado anualmente, o cuando se presenten cambios significativos en el entorno tecnológico, legal o institucional, con el fin de garantizar su alineación con la Política General de Seguridad de la Información, el Modelo de Seguridad y Privacidad de la Información (MSPI) y la Política de Gobierno Digital.</w:t>
      </w:r>
      <w:r w:rsidRPr="00C92A13">
        <w:rPr>
          <w:rFonts w:ascii="Arial" w:hAnsi="Arial" w:cs="Arial"/>
        </w:rPr>
        <w:br/>
      </w:r>
    </w:p>
    <w:p w14:paraId="635624F7" w14:textId="4F0E67DB" w:rsidR="005D292C" w:rsidRPr="00C92A13" w:rsidRDefault="005D292C" w:rsidP="00611A19">
      <w:pPr>
        <w:pStyle w:val="Prrafodelista"/>
        <w:numPr>
          <w:ilvl w:val="0"/>
          <w:numId w:val="14"/>
        </w:numPr>
        <w:jc w:val="both"/>
        <w:rPr>
          <w:rFonts w:ascii="Arial" w:hAnsi="Arial" w:cs="Arial"/>
        </w:rPr>
      </w:pPr>
      <w:r w:rsidRPr="00C92A13">
        <w:rPr>
          <w:rFonts w:ascii="Arial" w:hAnsi="Arial" w:cs="Arial"/>
          <w:b/>
          <w:bCs/>
        </w:rPr>
        <w:t>Monitoreo de madurez:</w:t>
      </w:r>
      <w:r w:rsidRPr="00C92A13">
        <w:rPr>
          <w:rFonts w:ascii="Arial" w:hAnsi="Arial" w:cs="Arial"/>
        </w:rPr>
        <w:t xml:space="preserve"> se aplicarán periódicamente instrumentos de medición del nivel de madurez del SGSI y del cumplimiento de las estrategias del plan, permitiendo establecer una línea base y metas de progreso hacia niveles superiores.</w:t>
      </w:r>
    </w:p>
    <w:p w14:paraId="648143C7" w14:textId="11B828BA" w:rsidR="005D292C" w:rsidRPr="00C92A13" w:rsidRDefault="005D292C" w:rsidP="00610FA3">
      <w:pPr>
        <w:pStyle w:val="Ttulo1"/>
      </w:pPr>
      <w:bookmarkStart w:id="20" w:name="_Toc211851430"/>
      <w:r w:rsidRPr="00C92A13">
        <w:lastRenderedPageBreak/>
        <w:t>Responsables</w:t>
      </w:r>
      <w:bookmarkEnd w:id="20"/>
    </w:p>
    <w:p w14:paraId="02600D68" w14:textId="31B36582" w:rsidR="005D292C" w:rsidRPr="00C92A13" w:rsidRDefault="005D292C" w:rsidP="00610FA3">
      <w:pPr>
        <w:jc w:val="both"/>
        <w:rPr>
          <w:rFonts w:ascii="Arial" w:hAnsi="Arial" w:cs="Arial"/>
        </w:rPr>
      </w:pPr>
      <w:r w:rsidRPr="00C92A13">
        <w:rPr>
          <w:rFonts w:ascii="Arial" w:hAnsi="Arial" w:cs="Arial"/>
        </w:rPr>
        <w:t xml:space="preserve">El </w:t>
      </w:r>
      <w:r w:rsidRPr="00C92A13">
        <w:rPr>
          <w:rFonts w:ascii="Arial" w:hAnsi="Arial" w:cs="Arial"/>
          <w:b/>
          <w:bCs/>
        </w:rPr>
        <w:t>Comité de Seguridad de la Información</w:t>
      </w:r>
      <w:r w:rsidRPr="00C92A13">
        <w:rPr>
          <w:rFonts w:ascii="Arial" w:hAnsi="Arial" w:cs="Arial"/>
        </w:rPr>
        <w:t xml:space="preserve"> </w:t>
      </w:r>
      <w:r w:rsidR="006D6EE3" w:rsidRPr="00C92A13">
        <w:rPr>
          <w:rFonts w:ascii="Arial" w:hAnsi="Arial" w:cs="Arial"/>
        </w:rPr>
        <w:t xml:space="preserve">definido </w:t>
      </w:r>
      <w:proofErr w:type="gramStart"/>
      <w:r w:rsidR="006D6EE3" w:rsidRPr="00C92A13">
        <w:rPr>
          <w:rFonts w:ascii="Arial" w:hAnsi="Arial" w:cs="Arial"/>
        </w:rPr>
        <w:t>de acuerdo al</w:t>
      </w:r>
      <w:proofErr w:type="gramEnd"/>
      <w:r w:rsidR="006D6EE3" w:rsidRPr="00C92A13">
        <w:rPr>
          <w:rFonts w:ascii="Arial" w:hAnsi="Arial" w:cs="Arial"/>
        </w:rPr>
        <w:t xml:space="preserve"> MSPI en el documento “Roles y responsabilidades” </w:t>
      </w:r>
      <w:r w:rsidRPr="00C92A13">
        <w:rPr>
          <w:rFonts w:ascii="Arial" w:hAnsi="Arial" w:cs="Arial"/>
        </w:rPr>
        <w:t>será el órgano responsable de coordinar la evaluación y la mejora continua del Plan Estratégico de Seguridad y Privacidad de la Información, con las siguientes funciones específicas:</w:t>
      </w:r>
    </w:p>
    <w:p w14:paraId="39EEF7B1" w14:textId="77777777" w:rsidR="005D292C" w:rsidRPr="00C92A13" w:rsidRDefault="005D292C" w:rsidP="00611A19">
      <w:pPr>
        <w:pStyle w:val="Prrafodelista"/>
        <w:numPr>
          <w:ilvl w:val="0"/>
          <w:numId w:val="15"/>
        </w:numPr>
        <w:jc w:val="both"/>
        <w:rPr>
          <w:rFonts w:ascii="Arial" w:hAnsi="Arial" w:cs="Arial"/>
        </w:rPr>
      </w:pPr>
      <w:r w:rsidRPr="00C92A13">
        <w:rPr>
          <w:rFonts w:ascii="Arial" w:hAnsi="Arial" w:cs="Arial"/>
        </w:rPr>
        <w:t>Supervisar la ejecución del plan y sus estrategias.</w:t>
      </w:r>
    </w:p>
    <w:p w14:paraId="1FA121E3" w14:textId="77777777" w:rsidR="005D292C" w:rsidRPr="00C92A13" w:rsidRDefault="005D292C" w:rsidP="00611A19">
      <w:pPr>
        <w:pStyle w:val="Prrafodelista"/>
        <w:numPr>
          <w:ilvl w:val="0"/>
          <w:numId w:val="15"/>
        </w:numPr>
        <w:jc w:val="both"/>
        <w:rPr>
          <w:rFonts w:ascii="Arial" w:hAnsi="Arial" w:cs="Arial"/>
        </w:rPr>
      </w:pPr>
      <w:r w:rsidRPr="00C92A13">
        <w:rPr>
          <w:rFonts w:ascii="Arial" w:hAnsi="Arial" w:cs="Arial"/>
        </w:rPr>
        <w:t>Revisar los informes de desempeño y auditorías internas del SGSI.</w:t>
      </w:r>
    </w:p>
    <w:p w14:paraId="039DD11E" w14:textId="77777777" w:rsidR="005D292C" w:rsidRPr="00C92A13" w:rsidRDefault="005D292C" w:rsidP="00611A19">
      <w:pPr>
        <w:pStyle w:val="Prrafodelista"/>
        <w:numPr>
          <w:ilvl w:val="0"/>
          <w:numId w:val="15"/>
        </w:numPr>
        <w:jc w:val="both"/>
        <w:rPr>
          <w:rFonts w:ascii="Arial" w:hAnsi="Arial" w:cs="Arial"/>
        </w:rPr>
      </w:pPr>
      <w:r w:rsidRPr="00C92A13">
        <w:rPr>
          <w:rFonts w:ascii="Arial" w:hAnsi="Arial" w:cs="Arial"/>
        </w:rPr>
        <w:t>Proponer acciones de mejora y priorizar proyectos de fortalecimiento institucional.</w:t>
      </w:r>
    </w:p>
    <w:p w14:paraId="586C2298" w14:textId="77777777" w:rsidR="005D292C" w:rsidRPr="00C92A13" w:rsidRDefault="005D292C" w:rsidP="00611A19">
      <w:pPr>
        <w:pStyle w:val="Prrafodelista"/>
        <w:numPr>
          <w:ilvl w:val="0"/>
          <w:numId w:val="15"/>
        </w:numPr>
        <w:jc w:val="both"/>
        <w:rPr>
          <w:rFonts w:ascii="Arial" w:hAnsi="Arial" w:cs="Arial"/>
        </w:rPr>
      </w:pPr>
      <w:r w:rsidRPr="00C92A13">
        <w:rPr>
          <w:rFonts w:ascii="Arial" w:hAnsi="Arial" w:cs="Arial"/>
        </w:rPr>
        <w:t>Validar los indicadores y aprobar los planes de acción derivados de las evaluaciones.</w:t>
      </w:r>
    </w:p>
    <w:p w14:paraId="477811FC" w14:textId="77777777" w:rsidR="005D292C" w:rsidRPr="00C92A13" w:rsidRDefault="005D292C" w:rsidP="00611A19">
      <w:pPr>
        <w:pStyle w:val="Prrafodelista"/>
        <w:numPr>
          <w:ilvl w:val="0"/>
          <w:numId w:val="15"/>
        </w:numPr>
        <w:jc w:val="both"/>
        <w:rPr>
          <w:rFonts w:ascii="Arial" w:hAnsi="Arial" w:cs="Arial"/>
        </w:rPr>
      </w:pPr>
      <w:r w:rsidRPr="00C92A13">
        <w:rPr>
          <w:rFonts w:ascii="Arial" w:hAnsi="Arial" w:cs="Arial"/>
        </w:rPr>
        <w:t xml:space="preserve">Garantizar la articulación del plan con el </w:t>
      </w:r>
      <w:r w:rsidRPr="00C92A13">
        <w:rPr>
          <w:rFonts w:ascii="Arial" w:hAnsi="Arial" w:cs="Arial"/>
          <w:b/>
          <w:bCs/>
        </w:rPr>
        <w:t>Plan de Acción Institucional</w:t>
      </w:r>
      <w:r w:rsidRPr="00C92A13">
        <w:rPr>
          <w:rFonts w:ascii="Arial" w:hAnsi="Arial" w:cs="Arial"/>
        </w:rPr>
        <w:t xml:space="preserve">, el </w:t>
      </w:r>
      <w:r w:rsidRPr="00C92A13">
        <w:rPr>
          <w:rFonts w:ascii="Arial" w:hAnsi="Arial" w:cs="Arial"/>
          <w:b/>
          <w:bCs/>
        </w:rPr>
        <w:t>Plan de Gobierno Digital</w:t>
      </w:r>
      <w:r w:rsidRPr="00C92A13">
        <w:rPr>
          <w:rFonts w:ascii="Arial" w:hAnsi="Arial" w:cs="Arial"/>
        </w:rPr>
        <w:t xml:space="preserve"> y el </w:t>
      </w:r>
      <w:r w:rsidRPr="00C92A13">
        <w:rPr>
          <w:rFonts w:ascii="Arial" w:hAnsi="Arial" w:cs="Arial"/>
          <w:b/>
          <w:bCs/>
        </w:rPr>
        <w:t>Plan Estratégico de Tecnologías de la Información (PETI)</w:t>
      </w:r>
      <w:r w:rsidRPr="00C92A13">
        <w:rPr>
          <w:rFonts w:ascii="Arial" w:hAnsi="Arial" w:cs="Arial"/>
        </w:rPr>
        <w:t>.</w:t>
      </w:r>
    </w:p>
    <w:p w14:paraId="21665726" w14:textId="070A2682" w:rsidR="00090835" w:rsidRPr="00C92A13" w:rsidRDefault="00090835" w:rsidP="00610FA3">
      <w:pPr>
        <w:pStyle w:val="Ttulo1"/>
      </w:pPr>
      <w:bookmarkStart w:id="21" w:name="_Toc211851431"/>
      <w:r w:rsidRPr="00C92A13">
        <w:t>Articulación con la Política General de Seguridad de la Información</w:t>
      </w:r>
      <w:bookmarkEnd w:id="21"/>
    </w:p>
    <w:p w14:paraId="73D85F44" w14:textId="77777777" w:rsidR="00090835" w:rsidRPr="00C92A13" w:rsidRDefault="00090835" w:rsidP="00610FA3">
      <w:pPr>
        <w:jc w:val="both"/>
        <w:rPr>
          <w:rFonts w:ascii="Arial" w:hAnsi="Arial" w:cs="Arial"/>
        </w:rPr>
      </w:pPr>
      <w:r w:rsidRPr="00C92A13">
        <w:rPr>
          <w:rFonts w:ascii="Arial" w:hAnsi="Arial" w:cs="Arial"/>
        </w:rPr>
        <w:t>Este proceso de evaluación y mejora continua se articula directamente con la Política General de Seguridad de la Información, garantizando la coherencia entre los objetivos estratégicos del plan y los compromisos institucionales en materia de gestión de la seguridad.</w:t>
      </w:r>
    </w:p>
    <w:p w14:paraId="08F4CFB6" w14:textId="0A10F553" w:rsidR="00090835" w:rsidRPr="00C92A13" w:rsidRDefault="00090835" w:rsidP="00C92A13">
      <w:pPr>
        <w:jc w:val="both"/>
        <w:rPr>
          <w:rFonts w:ascii="Arial" w:hAnsi="Arial" w:cs="Arial"/>
        </w:rPr>
      </w:pPr>
      <w:r w:rsidRPr="00C92A13">
        <w:rPr>
          <w:rFonts w:ascii="Arial" w:hAnsi="Arial" w:cs="Arial"/>
        </w:rPr>
        <w:t>Ambos instrumentos serán revisados de manera conjunta por el Comité de Seguridad de la Información, asegurando la alineación de políticas, estrategias, riesgos, controles y resultados institucionales en materia de seguridad y privacidad digital.</w:t>
      </w:r>
    </w:p>
    <w:p w14:paraId="42C9A4A8" w14:textId="738302BC" w:rsidR="005D292C" w:rsidRPr="00C92A13" w:rsidRDefault="005D292C" w:rsidP="00610FA3">
      <w:pPr>
        <w:pStyle w:val="Ttulo1"/>
      </w:pPr>
      <w:bookmarkStart w:id="22" w:name="_Toc211843276"/>
      <w:bookmarkStart w:id="23" w:name="_Toc211851432"/>
      <w:r w:rsidRPr="00C92A13">
        <w:t>Aprobación Y Revisión De</w:t>
      </w:r>
      <w:bookmarkEnd w:id="22"/>
      <w:r w:rsidRPr="00C92A13">
        <w:t>l Plan Estratégico De Seguridad Y Privacidad De La Información</w:t>
      </w:r>
      <w:bookmarkEnd w:id="23"/>
    </w:p>
    <w:p w14:paraId="4CBE9D31" w14:textId="506E9EAF" w:rsidR="005D292C" w:rsidRPr="00C92A13" w:rsidRDefault="005D292C" w:rsidP="00610FA3">
      <w:pPr>
        <w:jc w:val="both"/>
        <w:rPr>
          <w:rFonts w:ascii="Arial" w:hAnsi="Arial" w:cs="Arial"/>
        </w:rPr>
      </w:pPr>
      <w:r w:rsidRPr="00C92A13">
        <w:rPr>
          <w:rFonts w:ascii="Arial" w:hAnsi="Arial" w:cs="Arial"/>
        </w:rPr>
        <w:t xml:space="preserve">Este plan es efectivo desde su aprobación por la Alcaldía de Armenia a través de la Secretaría de las TIC. La revisión de este </w:t>
      </w:r>
      <w:r w:rsidR="00610FA3" w:rsidRPr="00C92A13">
        <w:rPr>
          <w:rFonts w:ascii="Arial" w:hAnsi="Arial" w:cs="Arial"/>
        </w:rPr>
        <w:t>plan se</w:t>
      </w:r>
      <w:r w:rsidRPr="00C92A13">
        <w:rPr>
          <w:rFonts w:ascii="Arial" w:hAnsi="Arial" w:cs="Arial"/>
        </w:rPr>
        <w:t xml:space="preserve"> hará en las siguientes condiciones:</w:t>
      </w:r>
    </w:p>
    <w:p w14:paraId="47A14AAD" w14:textId="3DDC7438" w:rsidR="005D292C" w:rsidRPr="00C92A13" w:rsidRDefault="005D292C" w:rsidP="00611A19">
      <w:pPr>
        <w:pStyle w:val="Prrafodelista"/>
        <w:numPr>
          <w:ilvl w:val="0"/>
          <w:numId w:val="1"/>
        </w:numPr>
        <w:jc w:val="both"/>
        <w:rPr>
          <w:rFonts w:ascii="Arial" w:hAnsi="Arial" w:cs="Arial"/>
        </w:rPr>
      </w:pPr>
      <w:r w:rsidRPr="00C92A13">
        <w:rPr>
          <w:rFonts w:ascii="Arial" w:hAnsi="Arial" w:cs="Arial"/>
        </w:rPr>
        <w:lastRenderedPageBreak/>
        <w:t>De forma anual, donde se deberá revisar la adopción de las estrategias, sus objetivos y las acciones de mejora respectivas para mantener competente el plan.</w:t>
      </w:r>
    </w:p>
    <w:p w14:paraId="1A297B2E" w14:textId="6C9F2412" w:rsidR="00974189" w:rsidRPr="00C92A13" w:rsidRDefault="005D292C" w:rsidP="00611A19">
      <w:pPr>
        <w:pStyle w:val="Prrafodelista"/>
        <w:numPr>
          <w:ilvl w:val="0"/>
          <w:numId w:val="1"/>
        </w:numPr>
        <w:jc w:val="both"/>
        <w:rPr>
          <w:rFonts w:ascii="Arial" w:hAnsi="Arial" w:cs="Arial"/>
        </w:rPr>
      </w:pPr>
      <w:r w:rsidRPr="00C92A13">
        <w:rPr>
          <w:rFonts w:ascii="Arial" w:hAnsi="Arial" w:cs="Arial"/>
        </w:rPr>
        <w:t>Incidentes de seguridad o privacidad de la información que requieran que el plan se actualice.</w:t>
      </w:r>
    </w:p>
    <w:tbl>
      <w:tblPr>
        <w:tblW w:w="9640" w:type="dxa"/>
        <w:tblInd w:w="-289" w:type="dxa"/>
        <w:tblLayout w:type="fixed"/>
        <w:tblCellMar>
          <w:left w:w="70" w:type="dxa"/>
          <w:right w:w="70" w:type="dxa"/>
        </w:tblCellMar>
        <w:tblLook w:val="0000" w:firstRow="0" w:lastRow="0" w:firstColumn="0" w:lastColumn="0" w:noHBand="0" w:noVBand="0"/>
      </w:tblPr>
      <w:tblGrid>
        <w:gridCol w:w="2836"/>
        <w:gridCol w:w="3619"/>
        <w:gridCol w:w="3185"/>
      </w:tblGrid>
      <w:tr w:rsidR="00C92A13" w:rsidRPr="005D4B25" w14:paraId="7015FE4C" w14:textId="77777777" w:rsidTr="00B32B7B">
        <w:trPr>
          <w:trHeight w:val="700"/>
        </w:trPr>
        <w:tc>
          <w:tcPr>
            <w:tcW w:w="2836" w:type="dxa"/>
            <w:tcBorders>
              <w:top w:val="single" w:sz="4" w:space="0" w:color="000000"/>
              <w:left w:val="single" w:sz="4" w:space="0" w:color="000000"/>
              <w:bottom w:val="single" w:sz="4" w:space="0" w:color="000000"/>
            </w:tcBorders>
            <w:shd w:val="clear" w:color="auto" w:fill="auto"/>
          </w:tcPr>
          <w:p w14:paraId="04C4A795" w14:textId="067E8E4A" w:rsidR="00C92A13" w:rsidRPr="00B32B7B" w:rsidRDefault="00C92A13" w:rsidP="000A3E86">
            <w:pPr>
              <w:rPr>
                <w:rFonts w:ascii="Arial" w:hAnsi="Arial" w:cs="Arial"/>
                <w:bCs/>
                <w:sz w:val="20"/>
                <w:szCs w:val="20"/>
                <w:lang w:eastAsia="es-CO"/>
              </w:rPr>
            </w:pPr>
            <w:r w:rsidRPr="00B32B7B">
              <w:rPr>
                <w:rFonts w:ascii="Arial" w:hAnsi="Arial" w:cs="Arial"/>
                <w:bCs/>
                <w:sz w:val="20"/>
                <w:szCs w:val="20"/>
              </w:rPr>
              <w:t>Elaborado por:</w:t>
            </w:r>
          </w:p>
          <w:p w14:paraId="075DABDD" w14:textId="77777777" w:rsidR="00C92A13" w:rsidRPr="00B32B7B" w:rsidRDefault="00C92A13" w:rsidP="000A3E86">
            <w:pPr>
              <w:jc w:val="center"/>
              <w:rPr>
                <w:rFonts w:ascii="Arial" w:hAnsi="Arial" w:cs="Arial"/>
                <w:bCs/>
                <w:sz w:val="20"/>
                <w:szCs w:val="20"/>
              </w:rPr>
            </w:pPr>
            <w:r w:rsidRPr="00B32B7B">
              <w:rPr>
                <w:rFonts w:ascii="Arial" w:hAnsi="Arial" w:cs="Arial"/>
                <w:bCs/>
                <w:sz w:val="20"/>
                <w:szCs w:val="20"/>
              </w:rPr>
              <w:t>JHOAN ESTEBAN SOLER GIRALDO</w:t>
            </w:r>
          </w:p>
          <w:p w14:paraId="61380057" w14:textId="39121A0F" w:rsidR="00B32B7B" w:rsidRPr="00B32B7B" w:rsidRDefault="00C92A13" w:rsidP="00B32B7B">
            <w:pPr>
              <w:jc w:val="center"/>
              <w:rPr>
                <w:rFonts w:ascii="Arial" w:hAnsi="Arial" w:cs="Arial"/>
                <w:bCs/>
                <w:sz w:val="20"/>
                <w:szCs w:val="20"/>
              </w:rPr>
            </w:pPr>
            <w:r w:rsidRPr="00B32B7B">
              <w:rPr>
                <w:rFonts w:ascii="Arial" w:hAnsi="Arial" w:cs="Arial"/>
                <w:bCs/>
                <w:sz w:val="20"/>
                <w:szCs w:val="20"/>
              </w:rPr>
              <w:t xml:space="preserve">Contratista </w:t>
            </w:r>
            <w:proofErr w:type="spellStart"/>
            <w:r w:rsidRPr="00B32B7B">
              <w:rPr>
                <w:rFonts w:ascii="Arial" w:hAnsi="Arial" w:cs="Arial"/>
                <w:bCs/>
                <w:sz w:val="20"/>
                <w:szCs w:val="20"/>
              </w:rPr>
              <w:t>Sec</w:t>
            </w:r>
            <w:proofErr w:type="spellEnd"/>
            <w:r w:rsidRPr="00B32B7B">
              <w:rPr>
                <w:rFonts w:ascii="Arial" w:hAnsi="Arial" w:cs="Arial"/>
                <w:bCs/>
                <w:sz w:val="20"/>
                <w:szCs w:val="20"/>
              </w:rPr>
              <w:t xml:space="preserve"> Tic</w:t>
            </w:r>
          </w:p>
          <w:p w14:paraId="3C71FB7F" w14:textId="77777777" w:rsidR="00B32B7B" w:rsidRPr="00B32B7B" w:rsidRDefault="00B32B7B" w:rsidP="00B32B7B">
            <w:pPr>
              <w:jc w:val="center"/>
              <w:rPr>
                <w:rFonts w:ascii="Arial" w:hAnsi="Arial" w:cs="Arial"/>
                <w:bCs/>
                <w:sz w:val="20"/>
                <w:szCs w:val="20"/>
              </w:rPr>
            </w:pPr>
            <w:r w:rsidRPr="00B32B7B">
              <w:rPr>
                <w:rFonts w:ascii="Arial" w:hAnsi="Arial" w:cs="Arial"/>
                <w:bCs/>
                <w:sz w:val="20"/>
                <w:szCs w:val="20"/>
              </w:rPr>
              <w:t>ANDRES FELIPE BARRERA PEREZ</w:t>
            </w:r>
          </w:p>
          <w:p w14:paraId="2F97019F" w14:textId="7BCA1492" w:rsidR="00B32B7B" w:rsidRPr="00B32B7B" w:rsidRDefault="00B32B7B" w:rsidP="00B32B7B">
            <w:pPr>
              <w:jc w:val="center"/>
              <w:rPr>
                <w:rFonts w:ascii="Arial" w:hAnsi="Arial" w:cs="Arial"/>
                <w:bCs/>
                <w:sz w:val="20"/>
                <w:szCs w:val="20"/>
              </w:rPr>
            </w:pPr>
            <w:r w:rsidRPr="00B32B7B">
              <w:rPr>
                <w:rFonts w:ascii="Arial" w:hAnsi="Arial" w:cs="Arial"/>
                <w:bCs/>
                <w:sz w:val="20"/>
                <w:szCs w:val="20"/>
              </w:rPr>
              <w:t>Profesional Universitario</w:t>
            </w:r>
          </w:p>
        </w:tc>
        <w:tc>
          <w:tcPr>
            <w:tcW w:w="3619" w:type="dxa"/>
            <w:tcBorders>
              <w:top w:val="single" w:sz="4" w:space="0" w:color="000000"/>
              <w:left w:val="single" w:sz="4" w:space="0" w:color="000000"/>
              <w:bottom w:val="single" w:sz="4" w:space="0" w:color="000000"/>
            </w:tcBorders>
            <w:shd w:val="clear" w:color="auto" w:fill="auto"/>
          </w:tcPr>
          <w:p w14:paraId="31340D1B" w14:textId="40256262" w:rsidR="00B32B7B" w:rsidRPr="00B32B7B" w:rsidRDefault="00C92A13" w:rsidP="00B32B7B">
            <w:pPr>
              <w:rPr>
                <w:rFonts w:ascii="Arial" w:hAnsi="Arial" w:cs="Arial"/>
                <w:bCs/>
                <w:sz w:val="20"/>
                <w:szCs w:val="20"/>
              </w:rPr>
            </w:pPr>
            <w:r w:rsidRPr="00B32B7B">
              <w:rPr>
                <w:rFonts w:ascii="Arial" w:hAnsi="Arial" w:cs="Arial"/>
                <w:bCs/>
                <w:sz w:val="20"/>
                <w:szCs w:val="20"/>
              </w:rPr>
              <w:t>Revisado por:</w:t>
            </w:r>
          </w:p>
          <w:p w14:paraId="7F779E60" w14:textId="28D8FC8F" w:rsidR="00C92A13" w:rsidRPr="00B32B7B" w:rsidRDefault="00B32B7B" w:rsidP="00B32B7B">
            <w:pPr>
              <w:jc w:val="center"/>
              <w:rPr>
                <w:rFonts w:ascii="Arial" w:hAnsi="Arial" w:cs="Arial"/>
                <w:bCs/>
                <w:sz w:val="20"/>
                <w:szCs w:val="20"/>
              </w:rPr>
            </w:pPr>
            <w:r w:rsidRPr="00B32B7B">
              <w:rPr>
                <w:rFonts w:ascii="Arial" w:hAnsi="Arial" w:cs="Arial"/>
                <w:bCs/>
                <w:sz w:val="20"/>
                <w:szCs w:val="20"/>
              </w:rPr>
              <w:t>JUAN SEBASTIAN HERRERA PARDO</w:t>
            </w:r>
          </w:p>
          <w:p w14:paraId="4AAA9CFF" w14:textId="037489D9" w:rsidR="00C92A13" w:rsidRPr="00B32B7B" w:rsidRDefault="00B32B7B" w:rsidP="000A3E86">
            <w:pPr>
              <w:jc w:val="center"/>
              <w:rPr>
                <w:rFonts w:ascii="Arial" w:hAnsi="Arial" w:cs="Arial"/>
                <w:bCs/>
                <w:sz w:val="20"/>
                <w:szCs w:val="20"/>
              </w:rPr>
            </w:pPr>
            <w:r w:rsidRPr="00B32B7B">
              <w:rPr>
                <w:rFonts w:ascii="Arial" w:hAnsi="Arial" w:cs="Arial"/>
                <w:bCs/>
                <w:sz w:val="20"/>
                <w:szCs w:val="20"/>
              </w:rPr>
              <w:t>Líder de Proceso</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55679FFE" w14:textId="753C1799" w:rsidR="00B32B7B" w:rsidRPr="00B32B7B" w:rsidRDefault="00C92A13" w:rsidP="000A3E86">
            <w:pPr>
              <w:rPr>
                <w:rFonts w:ascii="Arial" w:hAnsi="Arial" w:cs="Arial"/>
                <w:bCs/>
                <w:sz w:val="20"/>
                <w:szCs w:val="20"/>
              </w:rPr>
            </w:pPr>
            <w:r w:rsidRPr="00B32B7B">
              <w:rPr>
                <w:rFonts w:ascii="Arial" w:hAnsi="Arial" w:cs="Arial"/>
                <w:bCs/>
                <w:sz w:val="20"/>
                <w:szCs w:val="20"/>
              </w:rPr>
              <w:t>Aprobado por:</w:t>
            </w:r>
          </w:p>
          <w:p w14:paraId="782E86F0" w14:textId="77777777" w:rsidR="00C92A13" w:rsidRPr="00B32B7B" w:rsidRDefault="00C92A13" w:rsidP="000A3E86">
            <w:pPr>
              <w:jc w:val="center"/>
              <w:rPr>
                <w:rFonts w:ascii="Arial" w:hAnsi="Arial" w:cs="Arial"/>
                <w:bCs/>
                <w:sz w:val="20"/>
                <w:szCs w:val="20"/>
              </w:rPr>
            </w:pPr>
            <w:r w:rsidRPr="00B32B7B">
              <w:rPr>
                <w:rFonts w:ascii="Arial" w:hAnsi="Arial" w:cs="Arial"/>
                <w:bCs/>
                <w:sz w:val="20"/>
                <w:szCs w:val="20"/>
              </w:rPr>
              <w:t>COMITÉ OPERATIVO</w:t>
            </w:r>
          </w:p>
          <w:p w14:paraId="2BFBA5D7" w14:textId="0B457A61" w:rsidR="00C92A13" w:rsidRPr="00B32B7B" w:rsidRDefault="00C92A13" w:rsidP="000A3E86">
            <w:pPr>
              <w:jc w:val="center"/>
              <w:rPr>
                <w:rFonts w:ascii="Arial" w:hAnsi="Arial" w:cs="Arial"/>
                <w:bCs/>
                <w:sz w:val="20"/>
                <w:szCs w:val="20"/>
              </w:rPr>
            </w:pPr>
          </w:p>
        </w:tc>
      </w:tr>
    </w:tbl>
    <w:p w14:paraId="3A9EEE61" w14:textId="338E5341" w:rsidR="0023257D" w:rsidRPr="0023257D" w:rsidRDefault="0023257D" w:rsidP="00044DD5"/>
    <w:sectPr w:rsidR="0023257D" w:rsidRPr="0023257D" w:rsidSect="00B32B7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45DA" w14:textId="77777777" w:rsidR="00611A19" w:rsidRDefault="00611A19" w:rsidP="007F77D5">
      <w:pPr>
        <w:spacing w:after="0" w:line="240" w:lineRule="auto"/>
      </w:pPr>
      <w:r>
        <w:separator/>
      </w:r>
    </w:p>
  </w:endnote>
  <w:endnote w:type="continuationSeparator" w:id="0">
    <w:p w14:paraId="7A77E2D2" w14:textId="77777777" w:rsidR="00611A19" w:rsidRDefault="00611A19" w:rsidP="007F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Lato">
    <w:altName w:val="Arial"/>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aytone One">
    <w:altName w:val="Calibri"/>
    <w:charset w:val="00"/>
    <w:family w:val="auto"/>
    <w:pitch w:val="variable"/>
    <w:sig w:usb0="A00000FF" w:usb1="4000204B" w:usb2="00000000" w:usb3="00000000" w:csb0="00000193" w:csb1="00000000"/>
  </w:font>
  <w:font w:name="Amasis MT Pro">
    <w:charset w:val="00"/>
    <w:family w:val="roman"/>
    <w:pitch w:val="variable"/>
    <w:sig w:usb0="A00000AF" w:usb1="4000205B" w:usb2="00000000" w:usb3="00000000" w:csb0="00000093" w:csb1="00000000"/>
  </w:font>
  <w:font w:name="Aptos Display">
    <w:altName w:val="Calibri"/>
    <w:charset w:val="00"/>
    <w:family w:val="swiss"/>
    <w:pitch w:val="variable"/>
    <w:sig w:usb0="20000287" w:usb1="00000003" w:usb2="00000000" w:usb3="00000000" w:csb0="0000019F" w:csb1="00000000"/>
  </w:font>
  <w:font w:name="Alexandria Medium">
    <w:altName w:val="Arial"/>
    <w:charset w:val="00"/>
    <w:family w:val="auto"/>
    <w:pitch w:val="variable"/>
    <w:sig w:usb0="A00020FF" w:usb1="C000207B" w:usb2="00000008" w:usb3="00000000" w:csb0="000001D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448F" w14:textId="77777777" w:rsidR="00B32B7B" w:rsidRDefault="00B32B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4B39" w14:textId="77777777" w:rsidR="00D60DC0" w:rsidRPr="00B32B7B" w:rsidRDefault="00D60DC0" w:rsidP="00D60DC0">
    <w:pPr>
      <w:pStyle w:val="Piedepgina"/>
      <w:jc w:val="center"/>
      <w:rPr>
        <w:rFonts w:ascii="Arial" w:hAnsi="Arial" w:cs="Arial"/>
        <w:sz w:val="20"/>
        <w:szCs w:val="20"/>
      </w:rPr>
    </w:pPr>
    <w:r w:rsidRPr="00B32B7B">
      <w:rPr>
        <w:rFonts w:ascii="Arial" w:hAnsi="Arial" w:cs="Arial"/>
        <w:sz w:val="20"/>
        <w:szCs w:val="20"/>
      </w:rPr>
      <w:t>__________________________________________________________</w:t>
    </w:r>
  </w:p>
  <w:p w14:paraId="351DC3C4" w14:textId="28A79618" w:rsidR="00D60DC0" w:rsidRPr="00B32B7B" w:rsidRDefault="00D60DC0" w:rsidP="00D60DC0">
    <w:pPr>
      <w:pStyle w:val="Piedepgina"/>
      <w:jc w:val="center"/>
      <w:rPr>
        <w:rFonts w:ascii="Arial" w:hAnsi="Arial" w:cs="Arial"/>
        <w:sz w:val="20"/>
        <w:szCs w:val="20"/>
      </w:rPr>
    </w:pPr>
    <w:r w:rsidRPr="00B32B7B">
      <w:rPr>
        <w:rFonts w:ascii="Arial" w:hAnsi="Arial" w:cs="Arial"/>
        <w:sz w:val="20"/>
        <w:szCs w:val="20"/>
      </w:rPr>
      <w:t xml:space="preserve">Carrera 16 No. 15-28, Armenia Quindío – CAM Piso 4 – </w:t>
    </w:r>
    <w:r w:rsidRPr="00B32B7B">
      <w:rPr>
        <w:rFonts w:ascii="Arial" w:eastAsia="Arial" w:hAnsi="Arial" w:cs="Arial"/>
        <w:sz w:val="20"/>
        <w:szCs w:val="20"/>
      </w:rPr>
      <w:t xml:space="preserve">Código Postal.630004 </w:t>
    </w:r>
  </w:p>
  <w:p w14:paraId="51EC0BEC" w14:textId="4035EF5C" w:rsidR="00D60DC0" w:rsidRPr="00B32B7B" w:rsidRDefault="00D60DC0" w:rsidP="00D60DC0">
    <w:pPr>
      <w:pStyle w:val="Piedepgina"/>
      <w:jc w:val="center"/>
      <w:rPr>
        <w:rFonts w:ascii="Arial" w:hAnsi="Arial" w:cs="Arial"/>
        <w:sz w:val="20"/>
        <w:szCs w:val="20"/>
      </w:rPr>
    </w:pPr>
    <w:r w:rsidRPr="00B32B7B">
      <w:rPr>
        <w:rFonts w:ascii="Arial" w:hAnsi="Arial" w:cs="Arial"/>
        <w:sz w:val="20"/>
        <w:szCs w:val="20"/>
      </w:rPr>
      <w:t>Correo</w:t>
    </w:r>
    <w:r w:rsidRPr="00B32B7B">
      <w:rPr>
        <w:rFonts w:ascii="Arial" w:eastAsia="Arial" w:hAnsi="Arial" w:cs="Arial"/>
        <w:sz w:val="20"/>
        <w:szCs w:val="20"/>
      </w:rPr>
      <w:t xml:space="preserve"> </w:t>
    </w:r>
    <w:r w:rsidRPr="00B32B7B">
      <w:rPr>
        <w:rFonts w:ascii="Arial" w:hAnsi="Arial" w:cs="Arial"/>
        <w:sz w:val="20"/>
        <w:szCs w:val="20"/>
      </w:rPr>
      <w:t xml:space="preserve">Electrónico: </w:t>
    </w:r>
    <w:hyperlink r:id="rId1" w:history="1">
      <w:r w:rsidRPr="00B32B7B">
        <w:rPr>
          <w:rStyle w:val="Hipervnculo"/>
          <w:rFonts w:ascii="Arial" w:hAnsi="Arial" w:cs="Arial"/>
          <w:color w:val="auto"/>
          <w:sz w:val="20"/>
          <w:szCs w:val="20"/>
        </w:rPr>
        <w:t>tic@armenia.gov.co</w:t>
      </w:r>
    </w:hyperlink>
  </w:p>
  <w:p w14:paraId="33FBF7E7" w14:textId="52861FA6" w:rsidR="000F7A76" w:rsidRDefault="000F7A76">
    <w:pPr>
      <w:pStyle w:val="Piedepgina"/>
    </w:pPr>
  </w:p>
  <w:p w14:paraId="10EA0243" w14:textId="77777777" w:rsidR="000F7A76" w:rsidRDefault="000F7A7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84F9" w14:textId="77777777" w:rsidR="00B32B7B" w:rsidRDefault="00B32B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15797" w14:textId="77777777" w:rsidR="00611A19" w:rsidRDefault="00611A19" w:rsidP="007F77D5">
      <w:pPr>
        <w:spacing w:after="0" w:line="240" w:lineRule="auto"/>
      </w:pPr>
      <w:r>
        <w:separator/>
      </w:r>
    </w:p>
  </w:footnote>
  <w:footnote w:type="continuationSeparator" w:id="0">
    <w:p w14:paraId="110F80C3" w14:textId="77777777" w:rsidR="00611A19" w:rsidRDefault="00611A19" w:rsidP="007F7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1B48" w14:textId="77777777" w:rsidR="00B32B7B" w:rsidRDefault="00B32B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5"/>
      <w:gridCol w:w="6662"/>
      <w:gridCol w:w="2269"/>
    </w:tblGrid>
    <w:tr w:rsidR="00D60DC0" w:rsidRPr="000331B3" w14:paraId="1450646E" w14:textId="77777777" w:rsidTr="000A3E86">
      <w:trPr>
        <w:trHeight w:val="268"/>
      </w:trPr>
      <w:tc>
        <w:tcPr>
          <w:tcW w:w="564" w:type="pct"/>
          <w:vMerge w:val="restart"/>
          <w:tcBorders>
            <w:top w:val="single" w:sz="4" w:space="0" w:color="auto"/>
            <w:left w:val="single" w:sz="4" w:space="0" w:color="auto"/>
            <w:bottom w:val="single" w:sz="4" w:space="0" w:color="auto"/>
            <w:right w:val="single" w:sz="4" w:space="0" w:color="auto"/>
          </w:tcBorders>
          <w:noWrap/>
          <w:vAlign w:val="center"/>
        </w:tcPr>
        <w:p w14:paraId="56BC6C2B" w14:textId="77777777" w:rsidR="00D60DC0" w:rsidRPr="000331B3" w:rsidRDefault="00D60DC0" w:rsidP="00D60DC0">
          <w:pPr>
            <w:jc w:val="center"/>
            <w:rPr>
              <w:rFonts w:eastAsia="Calibri" w:cs="Arial"/>
              <w:noProof/>
              <w:kern w:val="0"/>
              <w:sz w:val="14"/>
              <w:szCs w:val="20"/>
              <w:lang w:val="en-US"/>
            </w:rPr>
          </w:pPr>
          <w:r w:rsidRPr="000331B3">
            <w:rPr>
              <w:rFonts w:ascii="Calibri" w:eastAsia="Calibri" w:hAnsi="Calibri" w:cs="Times New Roman"/>
              <w:kern w:val="0"/>
              <w:sz w:val="22"/>
            </w:rPr>
            <w:br w:type="page"/>
          </w:r>
          <w:r w:rsidRPr="000331B3">
            <w:rPr>
              <w:rFonts w:ascii="Calibri" w:eastAsia="Calibri" w:hAnsi="Calibri" w:cs="Times New Roman"/>
              <w:noProof/>
              <w:kern w:val="0"/>
              <w:sz w:val="22"/>
              <w:lang w:eastAsia="es-CO"/>
            </w:rPr>
            <w:drawing>
              <wp:inline distT="0" distB="0" distL="0" distR="0" wp14:anchorId="46A927E5" wp14:editId="626C55A7">
                <wp:extent cx="747667" cy="770021"/>
                <wp:effectExtent l="0" t="0" r="0" b="0"/>
                <wp:docPr id="1" name="Imagen 1" descr="Descripción: E:\DOCUMENTOS LENIS\Memoria pasar\1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DOCUMENTOS LENIS\Memoria pasar\1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19" cy="773679"/>
                        </a:xfrm>
                        <a:prstGeom prst="rect">
                          <a:avLst/>
                        </a:prstGeom>
                        <a:noFill/>
                        <a:ln>
                          <a:noFill/>
                        </a:ln>
                      </pic:spPr>
                    </pic:pic>
                  </a:graphicData>
                </a:graphic>
              </wp:inline>
            </w:drawing>
          </w:r>
        </w:p>
      </w:tc>
      <w:tc>
        <w:tcPr>
          <w:tcW w:w="3309" w:type="pct"/>
          <w:vMerge w:val="restart"/>
          <w:tcBorders>
            <w:top w:val="single" w:sz="4" w:space="0" w:color="auto"/>
            <w:left w:val="single" w:sz="4" w:space="0" w:color="auto"/>
            <w:right w:val="single" w:sz="4" w:space="0" w:color="auto"/>
          </w:tcBorders>
          <w:noWrap/>
          <w:vAlign w:val="center"/>
        </w:tcPr>
        <w:p w14:paraId="54462997" w14:textId="384C7E4F" w:rsidR="00D60DC0" w:rsidRPr="00B32B7B" w:rsidRDefault="00D60DC0" w:rsidP="00B32B7B">
          <w:pPr>
            <w:ind w:left="-28" w:firstLine="28"/>
            <w:jc w:val="center"/>
            <w:rPr>
              <w:rFonts w:ascii="Arial" w:eastAsia="Calibri" w:hAnsi="Arial" w:cs="Arial"/>
              <w:b/>
              <w:bCs/>
              <w:color w:val="000000"/>
              <w:kern w:val="0"/>
              <w:szCs w:val="24"/>
              <w:lang w:eastAsia="es-CO"/>
              <w14:ligatures w14:val="none"/>
            </w:rPr>
          </w:pPr>
          <w:r w:rsidRPr="00B32B7B">
            <w:rPr>
              <w:rFonts w:ascii="Arial" w:eastAsia="Calibri" w:hAnsi="Arial" w:cs="Arial"/>
              <w:b/>
              <w:bCs/>
              <w:color w:val="000000"/>
              <w:kern w:val="0"/>
              <w:szCs w:val="24"/>
              <w:lang w:eastAsia="es-CO"/>
              <w14:ligatures w14:val="none"/>
            </w:rPr>
            <w:t>PLAN ESTRATEGICO DE SEGURIDAD Y PRIVACIDAD DE LA INFORMACIÓN</w:t>
          </w:r>
          <w:r w:rsidRPr="00B32B7B">
            <w:rPr>
              <w:rFonts w:ascii="Arial" w:eastAsia="Calibri" w:hAnsi="Arial" w:cs="Arial"/>
              <w:b/>
              <w:bCs/>
              <w:color w:val="000000"/>
              <w:kern w:val="0"/>
              <w:szCs w:val="24"/>
              <w:lang w:eastAsia="es-CO"/>
              <w14:ligatures w14:val="none"/>
            </w:rPr>
            <w:br/>
            <w:t>PESI</w:t>
          </w:r>
        </w:p>
        <w:p w14:paraId="1BACC07A" w14:textId="73BAA1A6" w:rsidR="00D60DC0" w:rsidRPr="000331B3" w:rsidRDefault="00D60DC0" w:rsidP="00D60DC0">
          <w:pPr>
            <w:jc w:val="center"/>
            <w:rPr>
              <w:rFonts w:eastAsia="Arial Unicode MS" w:cs="Arial"/>
              <w:kern w:val="0"/>
              <w:sz w:val="20"/>
              <w:szCs w:val="20"/>
            </w:rPr>
          </w:pPr>
          <w:r w:rsidRPr="00B32B7B">
            <w:rPr>
              <w:rFonts w:ascii="Arial" w:eastAsia="Arial" w:hAnsi="Arial" w:cs="Arial"/>
              <w:color w:val="000000"/>
              <w:kern w:val="0"/>
              <w:sz w:val="20"/>
              <w:szCs w:val="20"/>
              <w:lang w:eastAsia="es-CO"/>
              <w14:ligatures w14:val="none"/>
            </w:rPr>
            <w:t xml:space="preserve">Secretaria de Tecnologías de la Información y las Comunicaciones </w:t>
          </w:r>
          <w:r w:rsidR="00B32B7B">
            <w:rPr>
              <w:rFonts w:ascii="Arial" w:eastAsia="Arial" w:hAnsi="Arial" w:cs="Arial"/>
              <w:color w:val="000000"/>
              <w:kern w:val="0"/>
              <w:sz w:val="20"/>
              <w:szCs w:val="20"/>
              <w:lang w:eastAsia="es-CO"/>
              <w14:ligatures w14:val="none"/>
            </w:rPr>
            <w:t xml:space="preserve">Proceso 17. </w:t>
          </w:r>
          <w:r w:rsidRPr="00B32B7B">
            <w:rPr>
              <w:rFonts w:ascii="Arial" w:eastAsia="Arial" w:hAnsi="Arial" w:cs="Arial"/>
              <w:color w:val="000000"/>
              <w:kern w:val="0"/>
              <w:sz w:val="20"/>
              <w:szCs w:val="20"/>
              <w:lang w:eastAsia="es-CO"/>
              <w14:ligatures w14:val="none"/>
            </w:rPr>
            <w:t>Gestión TIC</w:t>
          </w:r>
        </w:p>
      </w:tc>
      <w:tc>
        <w:tcPr>
          <w:tcW w:w="1127" w:type="pct"/>
          <w:tcBorders>
            <w:top w:val="single" w:sz="4" w:space="0" w:color="auto"/>
            <w:left w:val="single" w:sz="4" w:space="0" w:color="auto"/>
            <w:bottom w:val="single" w:sz="4" w:space="0" w:color="auto"/>
            <w:right w:val="single" w:sz="4" w:space="0" w:color="auto"/>
          </w:tcBorders>
          <w:noWrap/>
          <w:vAlign w:val="center"/>
        </w:tcPr>
        <w:p w14:paraId="4D60C41D" w14:textId="44DC509F" w:rsidR="00D60DC0" w:rsidRPr="00B32B7B" w:rsidRDefault="00D60DC0" w:rsidP="00D60DC0">
          <w:pPr>
            <w:rPr>
              <w:rFonts w:ascii="Arial" w:eastAsia="Arial Unicode MS" w:hAnsi="Arial" w:cs="Arial"/>
              <w:kern w:val="0"/>
              <w:sz w:val="20"/>
              <w:szCs w:val="20"/>
            </w:rPr>
          </w:pPr>
          <w:r w:rsidRPr="00B32B7B">
            <w:rPr>
              <w:rFonts w:ascii="Arial" w:eastAsia="Calibri" w:hAnsi="Arial" w:cs="Arial"/>
              <w:kern w:val="0"/>
              <w:sz w:val="20"/>
              <w:szCs w:val="20"/>
            </w:rPr>
            <w:t>Código: I-TI-PGT-005</w:t>
          </w:r>
        </w:p>
      </w:tc>
    </w:tr>
    <w:tr w:rsidR="00D60DC0" w:rsidRPr="000331B3" w14:paraId="5ED58359" w14:textId="77777777" w:rsidTr="000A3E86">
      <w:trPr>
        <w:trHeight w:val="272"/>
      </w:trPr>
      <w:tc>
        <w:tcPr>
          <w:tcW w:w="564" w:type="pct"/>
          <w:vMerge/>
          <w:tcBorders>
            <w:top w:val="single" w:sz="4" w:space="0" w:color="auto"/>
            <w:left w:val="single" w:sz="4" w:space="0" w:color="auto"/>
            <w:bottom w:val="single" w:sz="4" w:space="0" w:color="auto"/>
            <w:right w:val="single" w:sz="4" w:space="0" w:color="auto"/>
          </w:tcBorders>
          <w:vAlign w:val="center"/>
        </w:tcPr>
        <w:p w14:paraId="6B2985E8" w14:textId="77777777" w:rsidR="00D60DC0" w:rsidRPr="000331B3" w:rsidRDefault="00D60DC0" w:rsidP="00D60DC0">
          <w:pPr>
            <w:rPr>
              <w:rFonts w:eastAsia="Arial Unicode MS" w:cs="Arial"/>
              <w:kern w:val="0"/>
              <w:sz w:val="14"/>
              <w:szCs w:val="20"/>
            </w:rPr>
          </w:pPr>
        </w:p>
      </w:tc>
      <w:tc>
        <w:tcPr>
          <w:tcW w:w="3309" w:type="pct"/>
          <w:vMerge/>
          <w:tcBorders>
            <w:left w:val="single" w:sz="4" w:space="0" w:color="auto"/>
            <w:right w:val="single" w:sz="4" w:space="0" w:color="auto"/>
          </w:tcBorders>
          <w:noWrap/>
          <w:vAlign w:val="center"/>
        </w:tcPr>
        <w:p w14:paraId="33030D18" w14:textId="77777777" w:rsidR="00D60DC0" w:rsidRPr="000331B3" w:rsidRDefault="00D60DC0" w:rsidP="00D60DC0">
          <w:pPr>
            <w:ind w:left="-28" w:firstLine="28"/>
            <w:rPr>
              <w:rFonts w:eastAsia="Arial Unicode MS" w:cs="Arial"/>
              <w:kern w:val="0"/>
              <w:sz w:val="20"/>
              <w:szCs w:val="20"/>
            </w:rPr>
          </w:pPr>
        </w:p>
      </w:tc>
      <w:tc>
        <w:tcPr>
          <w:tcW w:w="1127" w:type="pct"/>
          <w:tcBorders>
            <w:top w:val="single" w:sz="4" w:space="0" w:color="auto"/>
            <w:left w:val="single" w:sz="4" w:space="0" w:color="auto"/>
            <w:bottom w:val="single" w:sz="4" w:space="0" w:color="auto"/>
            <w:right w:val="single" w:sz="4" w:space="0" w:color="auto"/>
          </w:tcBorders>
          <w:noWrap/>
          <w:vAlign w:val="center"/>
        </w:tcPr>
        <w:p w14:paraId="171A1648" w14:textId="65327BB0" w:rsidR="00D60DC0" w:rsidRPr="00B32B7B" w:rsidRDefault="00D60DC0" w:rsidP="00D60DC0">
          <w:pPr>
            <w:rPr>
              <w:rFonts w:ascii="Arial" w:eastAsia="Arial Unicode MS" w:hAnsi="Arial" w:cs="Arial"/>
              <w:kern w:val="0"/>
              <w:sz w:val="20"/>
              <w:szCs w:val="20"/>
            </w:rPr>
          </w:pPr>
          <w:r w:rsidRPr="00B32B7B">
            <w:rPr>
              <w:rFonts w:ascii="Arial" w:eastAsia="Calibri" w:hAnsi="Arial" w:cs="Arial"/>
              <w:kern w:val="0"/>
              <w:sz w:val="20"/>
              <w:szCs w:val="20"/>
            </w:rPr>
            <w:t xml:space="preserve">Fecha: </w:t>
          </w:r>
          <w:r w:rsidR="00B32B7B" w:rsidRPr="00B32B7B">
            <w:rPr>
              <w:rFonts w:ascii="Arial" w:eastAsia="Calibri" w:hAnsi="Arial" w:cs="Arial"/>
              <w:kern w:val="0"/>
              <w:sz w:val="20"/>
              <w:szCs w:val="20"/>
            </w:rPr>
            <w:t>12/11/2025</w:t>
          </w:r>
        </w:p>
      </w:tc>
    </w:tr>
    <w:tr w:rsidR="00D60DC0" w:rsidRPr="000331B3" w14:paraId="115312F7" w14:textId="77777777" w:rsidTr="000A3E86">
      <w:trPr>
        <w:trHeight w:val="318"/>
      </w:trPr>
      <w:tc>
        <w:tcPr>
          <w:tcW w:w="564" w:type="pct"/>
          <w:vMerge/>
          <w:tcBorders>
            <w:top w:val="single" w:sz="4" w:space="0" w:color="auto"/>
            <w:left w:val="single" w:sz="4" w:space="0" w:color="auto"/>
            <w:bottom w:val="single" w:sz="4" w:space="0" w:color="auto"/>
            <w:right w:val="single" w:sz="4" w:space="0" w:color="auto"/>
          </w:tcBorders>
          <w:vAlign w:val="center"/>
        </w:tcPr>
        <w:p w14:paraId="401CDA34" w14:textId="77777777" w:rsidR="00D60DC0" w:rsidRPr="000331B3" w:rsidRDefault="00D60DC0" w:rsidP="00D60DC0">
          <w:pPr>
            <w:rPr>
              <w:rFonts w:eastAsia="Arial Unicode MS" w:cs="Arial"/>
              <w:kern w:val="0"/>
              <w:sz w:val="14"/>
              <w:szCs w:val="20"/>
            </w:rPr>
          </w:pPr>
        </w:p>
      </w:tc>
      <w:tc>
        <w:tcPr>
          <w:tcW w:w="3309" w:type="pct"/>
          <w:vMerge/>
          <w:tcBorders>
            <w:left w:val="single" w:sz="4" w:space="0" w:color="auto"/>
            <w:right w:val="single" w:sz="4" w:space="0" w:color="auto"/>
          </w:tcBorders>
          <w:noWrap/>
          <w:vAlign w:val="center"/>
        </w:tcPr>
        <w:p w14:paraId="2DEBD3CF" w14:textId="77777777" w:rsidR="00D60DC0" w:rsidRPr="000331B3" w:rsidRDefault="00D60DC0" w:rsidP="00D60DC0">
          <w:pPr>
            <w:ind w:left="-28" w:firstLine="28"/>
            <w:rPr>
              <w:rFonts w:eastAsia="Calibri" w:cs="Arial"/>
              <w:kern w:val="0"/>
              <w:sz w:val="20"/>
              <w:szCs w:val="20"/>
            </w:rPr>
          </w:pPr>
        </w:p>
      </w:tc>
      <w:tc>
        <w:tcPr>
          <w:tcW w:w="1127" w:type="pct"/>
          <w:tcBorders>
            <w:top w:val="single" w:sz="4" w:space="0" w:color="auto"/>
            <w:left w:val="single" w:sz="4" w:space="0" w:color="auto"/>
            <w:bottom w:val="single" w:sz="4" w:space="0" w:color="auto"/>
            <w:right w:val="single" w:sz="4" w:space="0" w:color="auto"/>
          </w:tcBorders>
          <w:noWrap/>
          <w:vAlign w:val="center"/>
        </w:tcPr>
        <w:p w14:paraId="4B297AA6" w14:textId="4C48C9D3" w:rsidR="00D60DC0" w:rsidRPr="00B32B7B" w:rsidRDefault="00D60DC0" w:rsidP="00D60DC0">
          <w:pPr>
            <w:rPr>
              <w:rFonts w:ascii="Arial" w:eastAsia="Arial Unicode MS" w:hAnsi="Arial" w:cs="Arial"/>
              <w:kern w:val="0"/>
              <w:sz w:val="20"/>
              <w:szCs w:val="20"/>
            </w:rPr>
          </w:pPr>
          <w:r w:rsidRPr="00B32B7B">
            <w:rPr>
              <w:rFonts w:ascii="Arial" w:eastAsia="Calibri" w:hAnsi="Arial" w:cs="Arial"/>
              <w:kern w:val="0"/>
              <w:sz w:val="20"/>
              <w:szCs w:val="20"/>
            </w:rPr>
            <w:t>Versión: 00</w:t>
          </w:r>
          <w:r w:rsidR="00B32B7B">
            <w:rPr>
              <w:rFonts w:ascii="Arial" w:eastAsia="Calibri" w:hAnsi="Arial" w:cs="Arial"/>
              <w:kern w:val="0"/>
              <w:sz w:val="20"/>
              <w:szCs w:val="20"/>
            </w:rPr>
            <w:t>5</w:t>
          </w:r>
        </w:p>
      </w:tc>
    </w:tr>
    <w:tr w:rsidR="00D60DC0" w:rsidRPr="000331B3" w14:paraId="1950AA7C" w14:textId="77777777" w:rsidTr="000A3E86">
      <w:trPr>
        <w:trHeight w:val="111"/>
      </w:trPr>
      <w:tc>
        <w:tcPr>
          <w:tcW w:w="564" w:type="pct"/>
          <w:vMerge/>
          <w:tcBorders>
            <w:top w:val="single" w:sz="4" w:space="0" w:color="auto"/>
            <w:left w:val="single" w:sz="4" w:space="0" w:color="auto"/>
            <w:bottom w:val="single" w:sz="4" w:space="0" w:color="auto"/>
            <w:right w:val="single" w:sz="4" w:space="0" w:color="auto"/>
          </w:tcBorders>
          <w:vAlign w:val="center"/>
        </w:tcPr>
        <w:p w14:paraId="3B0B4D58" w14:textId="77777777" w:rsidR="00D60DC0" w:rsidRPr="000331B3" w:rsidRDefault="00D60DC0" w:rsidP="00D60DC0">
          <w:pPr>
            <w:rPr>
              <w:rFonts w:eastAsia="Arial Unicode MS" w:cs="Arial"/>
              <w:kern w:val="0"/>
              <w:sz w:val="14"/>
              <w:szCs w:val="20"/>
            </w:rPr>
          </w:pPr>
        </w:p>
      </w:tc>
      <w:tc>
        <w:tcPr>
          <w:tcW w:w="3309" w:type="pct"/>
          <w:vMerge/>
          <w:tcBorders>
            <w:left w:val="single" w:sz="4" w:space="0" w:color="auto"/>
            <w:bottom w:val="single" w:sz="4" w:space="0" w:color="auto"/>
            <w:right w:val="single" w:sz="4" w:space="0" w:color="auto"/>
          </w:tcBorders>
          <w:noWrap/>
          <w:vAlign w:val="center"/>
        </w:tcPr>
        <w:p w14:paraId="3BA30AFA" w14:textId="77777777" w:rsidR="00D60DC0" w:rsidRPr="000331B3" w:rsidRDefault="00D60DC0" w:rsidP="00D60DC0">
          <w:pPr>
            <w:ind w:left="-28" w:firstLine="28"/>
            <w:jc w:val="center"/>
            <w:rPr>
              <w:rFonts w:eastAsia="Calibri" w:cs="Arial"/>
              <w:kern w:val="0"/>
              <w:sz w:val="20"/>
              <w:szCs w:val="20"/>
            </w:rPr>
          </w:pPr>
        </w:p>
      </w:tc>
      <w:tc>
        <w:tcPr>
          <w:tcW w:w="1127" w:type="pct"/>
          <w:tcBorders>
            <w:top w:val="single" w:sz="4" w:space="0" w:color="auto"/>
            <w:left w:val="single" w:sz="4" w:space="0" w:color="auto"/>
            <w:bottom w:val="single" w:sz="4" w:space="0" w:color="auto"/>
            <w:right w:val="single" w:sz="4" w:space="0" w:color="auto"/>
          </w:tcBorders>
          <w:noWrap/>
          <w:vAlign w:val="center"/>
        </w:tcPr>
        <w:p w14:paraId="78E8E2C5" w14:textId="2D107DB0" w:rsidR="00D60DC0" w:rsidRPr="00B32B7B" w:rsidRDefault="00D60DC0" w:rsidP="00D60DC0">
          <w:pPr>
            <w:rPr>
              <w:rFonts w:ascii="Arial" w:eastAsia="Calibri" w:hAnsi="Arial" w:cs="Arial"/>
              <w:kern w:val="0"/>
              <w:sz w:val="20"/>
              <w:szCs w:val="20"/>
            </w:rPr>
          </w:pPr>
          <w:r w:rsidRPr="00B32B7B">
            <w:rPr>
              <w:rFonts w:ascii="Arial" w:eastAsia="Arial" w:hAnsi="Arial" w:cs="Arial"/>
              <w:sz w:val="20"/>
              <w:szCs w:val="20"/>
            </w:rPr>
            <w:t xml:space="preserve">Página </w:t>
          </w:r>
          <w:r w:rsidRPr="00B32B7B">
            <w:rPr>
              <w:rFonts w:ascii="Arial" w:hAnsi="Arial" w:cs="Arial"/>
              <w:sz w:val="20"/>
              <w:szCs w:val="20"/>
            </w:rPr>
            <w:fldChar w:fldCharType="begin"/>
          </w:r>
          <w:r w:rsidRPr="00B32B7B">
            <w:rPr>
              <w:rFonts w:ascii="Arial" w:hAnsi="Arial" w:cs="Arial"/>
              <w:sz w:val="20"/>
              <w:szCs w:val="20"/>
            </w:rPr>
            <w:instrText>PAGE</w:instrText>
          </w:r>
          <w:r w:rsidRPr="00B32B7B">
            <w:rPr>
              <w:rFonts w:ascii="Arial" w:hAnsi="Arial" w:cs="Arial"/>
              <w:sz w:val="20"/>
              <w:szCs w:val="20"/>
            </w:rPr>
            <w:fldChar w:fldCharType="separate"/>
          </w:r>
          <w:r w:rsidR="008D1A60" w:rsidRPr="00B32B7B">
            <w:rPr>
              <w:rFonts w:ascii="Arial" w:hAnsi="Arial" w:cs="Arial"/>
              <w:noProof/>
              <w:sz w:val="20"/>
              <w:szCs w:val="20"/>
            </w:rPr>
            <w:t>1</w:t>
          </w:r>
          <w:r w:rsidRPr="00B32B7B">
            <w:rPr>
              <w:rFonts w:ascii="Arial" w:hAnsi="Arial" w:cs="Arial"/>
              <w:noProof/>
              <w:sz w:val="20"/>
              <w:szCs w:val="20"/>
            </w:rPr>
            <w:fldChar w:fldCharType="end"/>
          </w:r>
          <w:r w:rsidRPr="00B32B7B">
            <w:rPr>
              <w:rFonts w:ascii="Arial" w:eastAsia="Arial" w:hAnsi="Arial" w:cs="Arial"/>
              <w:sz w:val="20"/>
              <w:szCs w:val="20"/>
            </w:rPr>
            <w:t xml:space="preserve"> de </w:t>
          </w:r>
          <w:r w:rsidRPr="00B32B7B">
            <w:rPr>
              <w:rFonts w:ascii="Arial" w:hAnsi="Arial" w:cs="Arial"/>
              <w:sz w:val="20"/>
              <w:szCs w:val="20"/>
            </w:rPr>
            <w:fldChar w:fldCharType="begin"/>
          </w:r>
          <w:r w:rsidRPr="00B32B7B">
            <w:rPr>
              <w:rFonts w:ascii="Arial" w:hAnsi="Arial" w:cs="Arial"/>
              <w:sz w:val="20"/>
              <w:szCs w:val="20"/>
            </w:rPr>
            <w:instrText>NUMPAGES</w:instrText>
          </w:r>
          <w:r w:rsidRPr="00B32B7B">
            <w:rPr>
              <w:rFonts w:ascii="Arial" w:hAnsi="Arial" w:cs="Arial"/>
              <w:sz w:val="20"/>
              <w:szCs w:val="20"/>
            </w:rPr>
            <w:fldChar w:fldCharType="separate"/>
          </w:r>
          <w:r w:rsidR="008D1A60" w:rsidRPr="00B32B7B">
            <w:rPr>
              <w:rFonts w:ascii="Arial" w:hAnsi="Arial" w:cs="Arial"/>
              <w:noProof/>
              <w:sz w:val="20"/>
              <w:szCs w:val="20"/>
            </w:rPr>
            <w:t>16</w:t>
          </w:r>
          <w:r w:rsidRPr="00B32B7B">
            <w:rPr>
              <w:rFonts w:ascii="Arial" w:hAnsi="Arial" w:cs="Arial"/>
              <w:noProof/>
              <w:sz w:val="20"/>
              <w:szCs w:val="20"/>
            </w:rPr>
            <w:fldChar w:fldCharType="end"/>
          </w:r>
        </w:p>
      </w:tc>
    </w:tr>
  </w:tbl>
  <w:p w14:paraId="6917AFDF" w14:textId="3E978B01" w:rsidR="007F77D5" w:rsidRDefault="007F77D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719F" w14:textId="77777777" w:rsidR="00B32B7B" w:rsidRDefault="00B32B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pt;height:189pt" o:bullet="t">
        <v:imagedata r:id="rId1" o:title="A_Armenia1"/>
      </v:shape>
    </w:pict>
  </w:numPicBullet>
  <w:abstractNum w:abstractNumId="0" w15:restartNumberingAfterBreak="0">
    <w:nsid w:val="038B1E64"/>
    <w:multiLevelType w:val="hybridMultilevel"/>
    <w:tmpl w:val="198C5E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BD0A55"/>
    <w:multiLevelType w:val="hybridMultilevel"/>
    <w:tmpl w:val="FB826DBC"/>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FA73FC"/>
    <w:multiLevelType w:val="hybridMultilevel"/>
    <w:tmpl w:val="BA501660"/>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B95634"/>
    <w:multiLevelType w:val="hybridMultilevel"/>
    <w:tmpl w:val="C6CC3C12"/>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37505E"/>
    <w:multiLevelType w:val="hybridMultilevel"/>
    <w:tmpl w:val="F80EEC2E"/>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8705AB"/>
    <w:multiLevelType w:val="hybridMultilevel"/>
    <w:tmpl w:val="43021CC0"/>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D300A4B"/>
    <w:multiLevelType w:val="hybridMultilevel"/>
    <w:tmpl w:val="09AEC6E0"/>
    <w:lvl w:ilvl="0" w:tplc="FFFFFFFF">
      <w:start w:val="1"/>
      <w:numFmt w:val="bullet"/>
      <w:lvlText w:val=""/>
      <w:lvlPicBulletId w:val="0"/>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340B22"/>
    <w:multiLevelType w:val="hybridMultilevel"/>
    <w:tmpl w:val="97DC6A32"/>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3031B68"/>
    <w:multiLevelType w:val="hybridMultilevel"/>
    <w:tmpl w:val="5CA49522"/>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6FE47E0"/>
    <w:multiLevelType w:val="hybridMultilevel"/>
    <w:tmpl w:val="586CA46E"/>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98F27D5"/>
    <w:multiLevelType w:val="hybridMultilevel"/>
    <w:tmpl w:val="97285640"/>
    <w:lvl w:ilvl="0" w:tplc="0AE2EF0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C814C8"/>
    <w:multiLevelType w:val="hybridMultilevel"/>
    <w:tmpl w:val="BE427426"/>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2B2F08"/>
    <w:multiLevelType w:val="hybridMultilevel"/>
    <w:tmpl w:val="156400AC"/>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BEE5E04"/>
    <w:multiLevelType w:val="hybridMultilevel"/>
    <w:tmpl w:val="CB7A7D50"/>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B33A77"/>
    <w:multiLevelType w:val="hybridMultilevel"/>
    <w:tmpl w:val="6A4EA984"/>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8D318CB"/>
    <w:multiLevelType w:val="hybridMultilevel"/>
    <w:tmpl w:val="8FAAE198"/>
    <w:lvl w:ilvl="0" w:tplc="FFFFFFFF">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11"/>
  </w:num>
  <w:num w:numId="5">
    <w:abstractNumId w:val="1"/>
  </w:num>
  <w:num w:numId="6">
    <w:abstractNumId w:val="8"/>
  </w:num>
  <w:num w:numId="7">
    <w:abstractNumId w:val="15"/>
  </w:num>
  <w:num w:numId="8">
    <w:abstractNumId w:val="9"/>
  </w:num>
  <w:num w:numId="9">
    <w:abstractNumId w:val="14"/>
  </w:num>
  <w:num w:numId="10">
    <w:abstractNumId w:val="7"/>
  </w:num>
  <w:num w:numId="11">
    <w:abstractNumId w:val="5"/>
  </w:num>
  <w:num w:numId="12">
    <w:abstractNumId w:val="6"/>
  </w:num>
  <w:num w:numId="13">
    <w:abstractNumId w:val="0"/>
  </w:num>
  <w:num w:numId="14">
    <w:abstractNumId w:val="3"/>
  </w:num>
  <w:num w:numId="15">
    <w:abstractNumId w:val="4"/>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2A"/>
    <w:rsid w:val="000210CE"/>
    <w:rsid w:val="00041AFC"/>
    <w:rsid w:val="00044DD5"/>
    <w:rsid w:val="00060114"/>
    <w:rsid w:val="000765D0"/>
    <w:rsid w:val="00076A67"/>
    <w:rsid w:val="00090835"/>
    <w:rsid w:val="0009168B"/>
    <w:rsid w:val="0009353D"/>
    <w:rsid w:val="00095F0E"/>
    <w:rsid w:val="000D26EC"/>
    <w:rsid w:val="000E643B"/>
    <w:rsid w:val="000F2DC8"/>
    <w:rsid w:val="000F7A76"/>
    <w:rsid w:val="00157662"/>
    <w:rsid w:val="001739ED"/>
    <w:rsid w:val="0017711E"/>
    <w:rsid w:val="001B47CD"/>
    <w:rsid w:val="001C53E6"/>
    <w:rsid w:val="001D6E01"/>
    <w:rsid w:val="001E718E"/>
    <w:rsid w:val="001F2CD6"/>
    <w:rsid w:val="00206AC8"/>
    <w:rsid w:val="00216636"/>
    <w:rsid w:val="0023257D"/>
    <w:rsid w:val="00251380"/>
    <w:rsid w:val="00275E6C"/>
    <w:rsid w:val="002C4062"/>
    <w:rsid w:val="002C705E"/>
    <w:rsid w:val="002D74A1"/>
    <w:rsid w:val="002E36B8"/>
    <w:rsid w:val="003143CB"/>
    <w:rsid w:val="00323D09"/>
    <w:rsid w:val="003321F7"/>
    <w:rsid w:val="003378CA"/>
    <w:rsid w:val="0037551A"/>
    <w:rsid w:val="00380C13"/>
    <w:rsid w:val="003F0D26"/>
    <w:rsid w:val="003F6203"/>
    <w:rsid w:val="0041499D"/>
    <w:rsid w:val="00417A19"/>
    <w:rsid w:val="00423C8A"/>
    <w:rsid w:val="0046317F"/>
    <w:rsid w:val="004710B1"/>
    <w:rsid w:val="00473F1B"/>
    <w:rsid w:val="00474458"/>
    <w:rsid w:val="00480FBC"/>
    <w:rsid w:val="004A7DAF"/>
    <w:rsid w:val="00514079"/>
    <w:rsid w:val="005255D5"/>
    <w:rsid w:val="00542EB4"/>
    <w:rsid w:val="00544BDD"/>
    <w:rsid w:val="00564E7C"/>
    <w:rsid w:val="0056744D"/>
    <w:rsid w:val="005901F6"/>
    <w:rsid w:val="005D292C"/>
    <w:rsid w:val="005E02B7"/>
    <w:rsid w:val="00603493"/>
    <w:rsid w:val="00604FF2"/>
    <w:rsid w:val="00610F00"/>
    <w:rsid w:val="00610FA3"/>
    <w:rsid w:val="00611A19"/>
    <w:rsid w:val="00615887"/>
    <w:rsid w:val="006276B3"/>
    <w:rsid w:val="00635DF6"/>
    <w:rsid w:val="00661687"/>
    <w:rsid w:val="006648C0"/>
    <w:rsid w:val="006852C3"/>
    <w:rsid w:val="00693683"/>
    <w:rsid w:val="006D6EE3"/>
    <w:rsid w:val="006F6592"/>
    <w:rsid w:val="00710379"/>
    <w:rsid w:val="00722466"/>
    <w:rsid w:val="00762543"/>
    <w:rsid w:val="00781323"/>
    <w:rsid w:val="0078249B"/>
    <w:rsid w:val="00794C58"/>
    <w:rsid w:val="007A2A14"/>
    <w:rsid w:val="007B0AAF"/>
    <w:rsid w:val="007B345E"/>
    <w:rsid w:val="007D184D"/>
    <w:rsid w:val="007F77D5"/>
    <w:rsid w:val="008015CB"/>
    <w:rsid w:val="00803727"/>
    <w:rsid w:val="00804D76"/>
    <w:rsid w:val="00811A74"/>
    <w:rsid w:val="00821F3E"/>
    <w:rsid w:val="00851043"/>
    <w:rsid w:val="008A6351"/>
    <w:rsid w:val="008C599B"/>
    <w:rsid w:val="008D0B78"/>
    <w:rsid w:val="008D1A60"/>
    <w:rsid w:val="008D589C"/>
    <w:rsid w:val="008F664F"/>
    <w:rsid w:val="00906777"/>
    <w:rsid w:val="0092334C"/>
    <w:rsid w:val="00937E08"/>
    <w:rsid w:val="00974189"/>
    <w:rsid w:val="0098373D"/>
    <w:rsid w:val="009F51B6"/>
    <w:rsid w:val="00A17E2F"/>
    <w:rsid w:val="00A22D48"/>
    <w:rsid w:val="00A275B8"/>
    <w:rsid w:val="00A46B46"/>
    <w:rsid w:val="00A56C3D"/>
    <w:rsid w:val="00A72CA7"/>
    <w:rsid w:val="00A73770"/>
    <w:rsid w:val="00AA32E3"/>
    <w:rsid w:val="00AB29BA"/>
    <w:rsid w:val="00AC1415"/>
    <w:rsid w:val="00AC27A2"/>
    <w:rsid w:val="00B215C3"/>
    <w:rsid w:val="00B32B7B"/>
    <w:rsid w:val="00B811F7"/>
    <w:rsid w:val="00BA3938"/>
    <w:rsid w:val="00BD4FE7"/>
    <w:rsid w:val="00C51B6E"/>
    <w:rsid w:val="00C77E7C"/>
    <w:rsid w:val="00C92A13"/>
    <w:rsid w:val="00C93704"/>
    <w:rsid w:val="00CB38FC"/>
    <w:rsid w:val="00CB4D8B"/>
    <w:rsid w:val="00CB4F84"/>
    <w:rsid w:val="00CB57B6"/>
    <w:rsid w:val="00CD5EFD"/>
    <w:rsid w:val="00D0187B"/>
    <w:rsid w:val="00D0456D"/>
    <w:rsid w:val="00D2346D"/>
    <w:rsid w:val="00D25534"/>
    <w:rsid w:val="00D3028F"/>
    <w:rsid w:val="00D30D66"/>
    <w:rsid w:val="00D35477"/>
    <w:rsid w:val="00D43E69"/>
    <w:rsid w:val="00D456FF"/>
    <w:rsid w:val="00D60DC0"/>
    <w:rsid w:val="00DC3235"/>
    <w:rsid w:val="00DC7D98"/>
    <w:rsid w:val="00DF1FD6"/>
    <w:rsid w:val="00E32359"/>
    <w:rsid w:val="00E3481C"/>
    <w:rsid w:val="00E50A43"/>
    <w:rsid w:val="00E50D52"/>
    <w:rsid w:val="00E54F23"/>
    <w:rsid w:val="00E82E2A"/>
    <w:rsid w:val="00EA0A1E"/>
    <w:rsid w:val="00EA50B4"/>
    <w:rsid w:val="00EE2E08"/>
    <w:rsid w:val="00F16F1A"/>
    <w:rsid w:val="00F324F6"/>
    <w:rsid w:val="00F4730A"/>
    <w:rsid w:val="00F47F6B"/>
    <w:rsid w:val="00F61FC2"/>
    <w:rsid w:val="00F6224C"/>
    <w:rsid w:val="00F727FB"/>
    <w:rsid w:val="00F823AA"/>
    <w:rsid w:val="00F85279"/>
    <w:rsid w:val="00F90E26"/>
    <w:rsid w:val="00F966B8"/>
    <w:rsid w:val="00FD53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83B3A"/>
  <w15:chartTrackingRefBased/>
  <w15:docId w15:val="{CD300075-782F-43C3-8252-80968304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7FB"/>
    <w:pPr>
      <w:spacing w:line="288" w:lineRule="auto"/>
    </w:pPr>
    <w:rPr>
      <w:rFonts w:ascii="Lato" w:hAnsi="Lato"/>
      <w:sz w:val="24"/>
    </w:rPr>
  </w:style>
  <w:style w:type="paragraph" w:styleId="Ttulo1">
    <w:name w:val="heading 1"/>
    <w:next w:val="Normal"/>
    <w:link w:val="Ttulo1Car"/>
    <w:autoRedefine/>
    <w:uiPriority w:val="9"/>
    <w:qFormat/>
    <w:rsid w:val="00610FA3"/>
    <w:pPr>
      <w:keepNext/>
      <w:keepLines/>
      <w:spacing w:before="360" w:after="200" w:line="240" w:lineRule="auto"/>
      <w:outlineLvl w:val="0"/>
    </w:pPr>
    <w:rPr>
      <w:rFonts w:ascii="Arial" w:eastAsiaTheme="majorEastAsia" w:hAnsi="Arial" w:cs="Arial"/>
      <w:b/>
      <w:bCs/>
      <w:sz w:val="32"/>
      <w:szCs w:val="32"/>
    </w:rPr>
  </w:style>
  <w:style w:type="paragraph" w:styleId="Ttulo2">
    <w:name w:val="heading 2"/>
    <w:next w:val="Normal"/>
    <w:link w:val="Ttulo2Car"/>
    <w:autoRedefine/>
    <w:uiPriority w:val="9"/>
    <w:unhideWhenUsed/>
    <w:qFormat/>
    <w:rsid w:val="00610FA3"/>
    <w:pPr>
      <w:keepNext/>
      <w:keepLines/>
      <w:spacing w:before="160" w:after="120" w:line="240" w:lineRule="auto"/>
      <w:jc w:val="both"/>
      <w:outlineLvl w:val="1"/>
    </w:pPr>
    <w:rPr>
      <w:rFonts w:ascii="Arial" w:eastAsiaTheme="majorEastAsia" w:hAnsi="Arial" w:cs="Arial"/>
      <w:b/>
      <w:bCs/>
      <w:sz w:val="32"/>
      <w:szCs w:val="32"/>
    </w:rPr>
  </w:style>
  <w:style w:type="paragraph" w:styleId="Ttulo3">
    <w:name w:val="heading 3"/>
    <w:basedOn w:val="Normal"/>
    <w:next w:val="Normal"/>
    <w:link w:val="Ttulo3Car"/>
    <w:uiPriority w:val="9"/>
    <w:semiHidden/>
    <w:unhideWhenUsed/>
    <w:qFormat/>
    <w:rsid w:val="00E82E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2E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2E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2E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2E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2E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2E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0FA3"/>
    <w:rPr>
      <w:rFonts w:ascii="Arial" w:eastAsiaTheme="majorEastAsia" w:hAnsi="Arial" w:cs="Arial"/>
      <w:b/>
      <w:bCs/>
      <w:sz w:val="32"/>
      <w:szCs w:val="32"/>
    </w:rPr>
  </w:style>
  <w:style w:type="character" w:customStyle="1" w:styleId="Ttulo2Car">
    <w:name w:val="Título 2 Car"/>
    <w:basedOn w:val="Fuentedeprrafopredeter"/>
    <w:link w:val="Ttulo2"/>
    <w:uiPriority w:val="9"/>
    <w:rsid w:val="00610FA3"/>
    <w:rPr>
      <w:rFonts w:ascii="Arial" w:eastAsiaTheme="majorEastAsia" w:hAnsi="Arial" w:cs="Arial"/>
      <w:b/>
      <w:bCs/>
      <w:sz w:val="32"/>
      <w:szCs w:val="32"/>
    </w:rPr>
  </w:style>
  <w:style w:type="character" w:customStyle="1" w:styleId="Ttulo3Car">
    <w:name w:val="Título 3 Car"/>
    <w:basedOn w:val="Fuentedeprrafopredeter"/>
    <w:link w:val="Ttulo3"/>
    <w:uiPriority w:val="9"/>
    <w:semiHidden/>
    <w:rsid w:val="00E82E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2E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2E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2E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2E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2E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2E2A"/>
    <w:rPr>
      <w:rFonts w:eastAsiaTheme="majorEastAsia" w:cstheme="majorBidi"/>
      <w:color w:val="272727" w:themeColor="text1" w:themeTint="D8"/>
    </w:rPr>
  </w:style>
  <w:style w:type="paragraph" w:styleId="Ttulo">
    <w:name w:val="Title"/>
    <w:aliases w:val="Título Portada"/>
    <w:next w:val="Normal"/>
    <w:link w:val="TtuloCar"/>
    <w:autoRedefine/>
    <w:uiPriority w:val="10"/>
    <w:qFormat/>
    <w:rsid w:val="00C93704"/>
    <w:pPr>
      <w:spacing w:after="80" w:line="240" w:lineRule="auto"/>
      <w:contextualSpacing/>
      <w:jc w:val="center"/>
    </w:pPr>
    <w:rPr>
      <w:rFonts w:ascii="Paytone One" w:eastAsiaTheme="majorEastAsia" w:hAnsi="Paytone One" w:cstheme="majorBidi"/>
      <w:b/>
      <w:caps/>
      <w:color w:val="078930"/>
      <w:spacing w:val="-10"/>
      <w:kern w:val="28"/>
      <w:sz w:val="50"/>
      <w:szCs w:val="56"/>
    </w:rPr>
  </w:style>
  <w:style w:type="character" w:customStyle="1" w:styleId="TtuloCar">
    <w:name w:val="Título Car"/>
    <w:aliases w:val="Título Portada Car"/>
    <w:basedOn w:val="Fuentedeprrafopredeter"/>
    <w:link w:val="Ttulo"/>
    <w:uiPriority w:val="10"/>
    <w:rsid w:val="00C93704"/>
    <w:rPr>
      <w:rFonts w:ascii="Paytone One" w:eastAsiaTheme="majorEastAsia" w:hAnsi="Paytone One" w:cstheme="majorBidi"/>
      <w:b/>
      <w:caps/>
      <w:color w:val="078930"/>
      <w:spacing w:val="-10"/>
      <w:kern w:val="28"/>
      <w:sz w:val="50"/>
      <w:szCs w:val="56"/>
    </w:rPr>
  </w:style>
  <w:style w:type="paragraph" w:styleId="Subttulo">
    <w:name w:val="Subtitle"/>
    <w:basedOn w:val="Normal"/>
    <w:next w:val="Normal"/>
    <w:link w:val="SubttuloCar"/>
    <w:uiPriority w:val="11"/>
    <w:qFormat/>
    <w:rsid w:val="00E82E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2E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2E2A"/>
    <w:pPr>
      <w:spacing w:before="160"/>
      <w:jc w:val="center"/>
    </w:pPr>
    <w:rPr>
      <w:i/>
      <w:iCs/>
      <w:color w:val="404040" w:themeColor="text1" w:themeTint="BF"/>
    </w:rPr>
  </w:style>
  <w:style w:type="character" w:customStyle="1" w:styleId="CitaCar">
    <w:name w:val="Cita Car"/>
    <w:basedOn w:val="Fuentedeprrafopredeter"/>
    <w:link w:val="Cita"/>
    <w:uiPriority w:val="29"/>
    <w:rsid w:val="00E82E2A"/>
    <w:rPr>
      <w:i/>
      <w:iCs/>
      <w:color w:val="404040" w:themeColor="text1" w:themeTint="BF"/>
    </w:rPr>
  </w:style>
  <w:style w:type="paragraph" w:styleId="Prrafodelista">
    <w:name w:val="List Paragraph"/>
    <w:basedOn w:val="Normal"/>
    <w:uiPriority w:val="34"/>
    <w:qFormat/>
    <w:rsid w:val="00E82E2A"/>
    <w:pPr>
      <w:ind w:left="720"/>
      <w:contextualSpacing/>
    </w:pPr>
  </w:style>
  <w:style w:type="character" w:styleId="nfasisintenso">
    <w:name w:val="Intense Emphasis"/>
    <w:basedOn w:val="Fuentedeprrafopredeter"/>
    <w:uiPriority w:val="21"/>
    <w:qFormat/>
    <w:rsid w:val="00E82E2A"/>
    <w:rPr>
      <w:i/>
      <w:iCs/>
      <w:color w:val="0F4761" w:themeColor="accent1" w:themeShade="BF"/>
    </w:rPr>
  </w:style>
  <w:style w:type="paragraph" w:styleId="Citadestacada">
    <w:name w:val="Intense Quote"/>
    <w:basedOn w:val="Normal"/>
    <w:next w:val="Normal"/>
    <w:link w:val="CitadestacadaCar"/>
    <w:uiPriority w:val="30"/>
    <w:qFormat/>
    <w:rsid w:val="00E82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2E2A"/>
    <w:rPr>
      <w:i/>
      <w:iCs/>
      <w:color w:val="0F4761" w:themeColor="accent1" w:themeShade="BF"/>
    </w:rPr>
  </w:style>
  <w:style w:type="character" w:styleId="Referenciaintensa">
    <w:name w:val="Intense Reference"/>
    <w:basedOn w:val="Fuentedeprrafopredeter"/>
    <w:uiPriority w:val="32"/>
    <w:qFormat/>
    <w:rsid w:val="00E82E2A"/>
    <w:rPr>
      <w:b/>
      <w:bCs/>
      <w:smallCaps/>
      <w:color w:val="0F4761" w:themeColor="accent1" w:themeShade="BF"/>
      <w:spacing w:val="5"/>
    </w:rPr>
  </w:style>
  <w:style w:type="paragraph" w:styleId="Encabezado">
    <w:name w:val="header"/>
    <w:basedOn w:val="Normal"/>
    <w:link w:val="EncabezadoCar"/>
    <w:uiPriority w:val="99"/>
    <w:unhideWhenUsed/>
    <w:rsid w:val="007F77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77D5"/>
    <w:rPr>
      <w:rFonts w:ascii="Amasis MT Pro" w:hAnsi="Amasis MT Pro"/>
      <w:sz w:val="24"/>
    </w:rPr>
  </w:style>
  <w:style w:type="paragraph" w:styleId="Piedepgina">
    <w:name w:val="footer"/>
    <w:basedOn w:val="Normal"/>
    <w:link w:val="PiedepginaCar"/>
    <w:unhideWhenUsed/>
    <w:rsid w:val="007F77D5"/>
    <w:pPr>
      <w:tabs>
        <w:tab w:val="center" w:pos="4419"/>
        <w:tab w:val="right" w:pos="8838"/>
      </w:tabs>
      <w:spacing w:after="0" w:line="240" w:lineRule="auto"/>
    </w:pPr>
  </w:style>
  <w:style w:type="character" w:customStyle="1" w:styleId="PiedepginaCar">
    <w:name w:val="Pie de página Car"/>
    <w:basedOn w:val="Fuentedeprrafopredeter"/>
    <w:link w:val="Piedepgina"/>
    <w:rsid w:val="007F77D5"/>
    <w:rPr>
      <w:rFonts w:ascii="Amasis MT Pro" w:hAnsi="Amasis MT Pro"/>
      <w:sz w:val="24"/>
    </w:rPr>
  </w:style>
  <w:style w:type="paragraph" w:styleId="TtuloTDC">
    <w:name w:val="TOC Heading"/>
    <w:basedOn w:val="Ttulo1"/>
    <w:next w:val="Normal"/>
    <w:uiPriority w:val="39"/>
    <w:unhideWhenUsed/>
    <w:qFormat/>
    <w:rsid w:val="007B0AAF"/>
    <w:pPr>
      <w:spacing w:before="240" w:after="0" w:line="259" w:lineRule="auto"/>
      <w:outlineLvl w:val="9"/>
    </w:pPr>
    <w:rPr>
      <w:rFonts w:asciiTheme="majorHAnsi" w:hAnsiTheme="majorHAnsi"/>
      <w:color w:val="0F4761" w:themeColor="accent1" w:themeShade="BF"/>
      <w:kern w:val="0"/>
      <w:lang w:eastAsia="es-CO"/>
      <w14:ligatures w14:val="none"/>
    </w:rPr>
  </w:style>
  <w:style w:type="paragraph" w:styleId="TDC1">
    <w:name w:val="toc 1"/>
    <w:basedOn w:val="Normal"/>
    <w:next w:val="Normal"/>
    <w:autoRedefine/>
    <w:uiPriority w:val="39"/>
    <w:unhideWhenUsed/>
    <w:rsid w:val="007B0AAF"/>
    <w:pPr>
      <w:spacing w:after="100"/>
    </w:pPr>
  </w:style>
  <w:style w:type="character" w:styleId="Hipervnculo">
    <w:name w:val="Hyperlink"/>
    <w:basedOn w:val="Fuentedeprrafopredeter"/>
    <w:uiPriority w:val="99"/>
    <w:unhideWhenUsed/>
    <w:rsid w:val="007B0AAF"/>
    <w:rPr>
      <w:color w:val="467886" w:themeColor="hyperlink"/>
      <w:u w:val="single"/>
    </w:rPr>
  </w:style>
  <w:style w:type="table" w:styleId="Tablaconcuadrcula">
    <w:name w:val="Table Grid"/>
    <w:basedOn w:val="Tablanormal"/>
    <w:uiPriority w:val="39"/>
    <w:rsid w:val="0081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F7A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7A76"/>
    <w:rPr>
      <w:rFonts w:ascii="Lato" w:hAnsi="Lato"/>
      <w:sz w:val="20"/>
      <w:szCs w:val="20"/>
    </w:rPr>
  </w:style>
  <w:style w:type="character" w:styleId="Refdenotaalpie">
    <w:name w:val="footnote reference"/>
    <w:basedOn w:val="Fuentedeprrafopredeter"/>
    <w:uiPriority w:val="99"/>
    <w:semiHidden/>
    <w:unhideWhenUsed/>
    <w:rsid w:val="000F7A76"/>
    <w:rPr>
      <w:vertAlign w:val="superscript"/>
    </w:rPr>
  </w:style>
  <w:style w:type="paragraph" w:styleId="TDC2">
    <w:name w:val="toc 2"/>
    <w:basedOn w:val="Normal"/>
    <w:next w:val="Normal"/>
    <w:autoRedefine/>
    <w:uiPriority w:val="39"/>
    <w:unhideWhenUsed/>
    <w:rsid w:val="00275E6C"/>
    <w:pPr>
      <w:spacing w:after="100"/>
      <w:ind w:left="240"/>
    </w:pPr>
  </w:style>
  <w:style w:type="character" w:styleId="Textodelmarcadordeposicin">
    <w:name w:val="Placeholder Text"/>
    <w:basedOn w:val="Fuentedeprrafopredeter"/>
    <w:uiPriority w:val="99"/>
    <w:semiHidden/>
    <w:rsid w:val="003143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tic@armen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CBC3-9EF9-4C5E-8584-50B199F8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4144</Words>
  <Characters>22792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Jhoan Esteban Soler Giraldo</dc:creator>
  <cp:keywords/>
  <dc:description/>
  <cp:lastModifiedBy>Alejandro Ferrer</cp:lastModifiedBy>
  <cp:revision>2</cp:revision>
  <dcterms:created xsi:type="dcterms:W3CDTF">2025-11-21T14:40:00Z</dcterms:created>
  <dcterms:modified xsi:type="dcterms:W3CDTF">2025-11-21T14:40:00Z</dcterms:modified>
</cp:coreProperties>
</file>